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46DC5">
      <w:pPr>
        <w:adjustRightInd w:val="0"/>
        <w:snapToGrid w:val="0"/>
        <w:spacing w:line="480" w:lineRule="exact"/>
        <w:jc w:val="center"/>
        <w:rPr>
          <w:rFonts w:ascii="宋体" w:hAnsi="宋体"/>
          <w:b/>
          <w:bCs/>
          <w:color w:val="1F4E79"/>
          <w:sz w:val="32"/>
          <w:szCs w:val="32"/>
        </w:rPr>
      </w:pPr>
      <w:bookmarkStart w:id="0" w:name="_GoBack"/>
      <w:bookmarkEnd w:id="0"/>
      <w:r>
        <w:rPr>
          <w:rFonts w:hint="eastAsia" w:ascii="宋体" w:hAnsi="宋体"/>
          <w:b/>
          <w:bCs/>
          <w:color w:val="1F4E79"/>
          <w:sz w:val="32"/>
          <w:szCs w:val="32"/>
        </w:rPr>
        <w:t>国企公司法人治理</w:t>
      </w:r>
    </w:p>
    <w:p w14:paraId="4C9028FE">
      <w:pPr>
        <w:adjustRightInd w:val="0"/>
        <w:snapToGrid w:val="0"/>
        <w:spacing w:line="480" w:lineRule="exact"/>
        <w:rPr>
          <w:rFonts w:ascii="宋体" w:hAnsi="宋体"/>
          <w:b/>
          <w:sz w:val="24"/>
          <w:szCs w:val="24"/>
        </w:rPr>
      </w:pPr>
    </w:p>
    <w:p w14:paraId="7B5358D1">
      <w:pPr>
        <w:adjustRightInd w:val="0"/>
        <w:snapToGrid w:val="0"/>
        <w:spacing w:line="480" w:lineRule="exact"/>
        <w:rPr>
          <w:rFonts w:hint="eastAsia" w:ascii="宋体" w:hAnsi="宋体" w:cs="Arial"/>
          <w:b/>
          <w:bCs/>
          <w:color w:val="1F4E79"/>
          <w:kern w:val="0"/>
          <w:sz w:val="24"/>
          <w:szCs w:val="24"/>
        </w:rPr>
      </w:pPr>
      <w:r>
        <w:rPr>
          <w:rFonts w:hint="eastAsia" w:ascii="宋体" w:hAnsi="宋体" w:cs="Arial"/>
          <w:b/>
          <w:bCs/>
          <w:color w:val="1F4E79"/>
          <w:kern w:val="0"/>
          <w:sz w:val="24"/>
          <w:szCs w:val="24"/>
        </w:rPr>
        <w:t>课程背景：</w:t>
      </w:r>
    </w:p>
    <w:p w14:paraId="5F4AD6D6">
      <w:pPr>
        <w:adjustRightInd w:val="0"/>
        <w:snapToGrid w:val="0"/>
        <w:spacing w:line="480" w:lineRule="exact"/>
        <w:ind w:firstLine="480" w:firstLineChars="200"/>
        <w:rPr>
          <w:rFonts w:ascii="宋体" w:hAnsi="宋体"/>
          <w:sz w:val="24"/>
          <w:szCs w:val="24"/>
        </w:rPr>
      </w:pPr>
      <w:r>
        <w:rPr>
          <w:rFonts w:ascii="宋体" w:hAnsi="宋体"/>
          <w:sz w:val="24"/>
          <w:szCs w:val="24"/>
        </w:rPr>
        <w:t>国有企业作为国民经济的重要支柱，其法人治理结构的完善是全面推进依法治企、推进国家治理体系和治理能力现代化的内在要求。随着新一轮国有企业改革的深入推进，国有企业法人治理结构的优化已成为改革的核心任务之一。然而，当前许多国有企业在法人治理方面仍存在诸多问题，如产权不明晰、股权结构不合理、董事会形同虚设、信息披露不对称等，这些问题严重制约了国有企业的健康发展。</w:t>
      </w:r>
    </w:p>
    <w:p w14:paraId="534BB2A8">
      <w:pPr>
        <w:adjustRightInd w:val="0"/>
        <w:snapToGrid w:val="0"/>
        <w:spacing w:line="480" w:lineRule="exact"/>
        <w:ind w:firstLine="480" w:firstLineChars="200"/>
        <w:rPr>
          <w:rFonts w:ascii="宋体" w:hAnsi="宋体"/>
          <w:sz w:val="24"/>
          <w:szCs w:val="24"/>
        </w:rPr>
      </w:pPr>
      <w:r>
        <w:rPr>
          <w:rFonts w:ascii="宋体" w:hAnsi="宋体"/>
          <w:sz w:val="24"/>
          <w:szCs w:val="24"/>
        </w:rPr>
        <w:t>近年来，国家在国有企业改革方面出台了一系列政策文件，如《关于深化国有企业改革的指导意见》《国有企业改革三年行动方案》等，明确提出要完善国有企业法人治理结构，建立现代企业制度，推动国有企业高质量发展。特别是2023年新修订的《公司法》，对国有企业法人治理提出了更高要求，进一步明确了国有企业的治理框架和责任机制。</w:t>
      </w:r>
    </w:p>
    <w:p w14:paraId="1A4B58CB">
      <w:pPr>
        <w:adjustRightInd w:val="0"/>
        <w:snapToGrid w:val="0"/>
        <w:spacing w:line="480" w:lineRule="exact"/>
        <w:ind w:firstLine="480" w:firstLineChars="200"/>
        <w:rPr>
          <w:rFonts w:ascii="宋体" w:hAnsi="宋体"/>
          <w:sz w:val="24"/>
          <w:szCs w:val="24"/>
        </w:rPr>
      </w:pPr>
      <w:r>
        <w:rPr>
          <w:rFonts w:ascii="宋体" w:hAnsi="宋体"/>
          <w:sz w:val="24"/>
          <w:szCs w:val="24"/>
        </w:rPr>
        <w:t>然而，尽管政策法规不断完善，国有企业在实际治理过程中仍面临诸多挑战。例如，部分国有企业董事会职能虚化，未能充分发挥决策和监督作用；监事会形同虚设，缺乏独立性和权威性；经理层权力过大，缺乏有效制衡机制；信息披露不透明，导致外部监督难以落实。这些问题不仅影响了国有企业的经营效率，也增加了企业的运营风险。</w:t>
      </w:r>
    </w:p>
    <w:p w14:paraId="10885706">
      <w:pPr>
        <w:adjustRightInd w:val="0"/>
        <w:snapToGrid w:val="0"/>
        <w:spacing w:line="480" w:lineRule="exact"/>
        <w:ind w:firstLine="480" w:firstLineChars="200"/>
        <w:rPr>
          <w:rFonts w:ascii="宋体" w:hAnsi="宋体"/>
          <w:sz w:val="24"/>
          <w:szCs w:val="24"/>
        </w:rPr>
      </w:pPr>
      <w:r>
        <w:rPr>
          <w:rFonts w:ascii="宋体" w:hAnsi="宋体"/>
          <w:sz w:val="24"/>
          <w:szCs w:val="24"/>
        </w:rPr>
        <w:t>此外，随着全球经济环境的变化和市场竞争的加剧，国有企业面临的挑战日益增多。一方面，国有企业需要在激烈的市场竞争中保持竞争力，提升经营效率；另一方面，国有企业还需要承担更多的社会责任，如环境保护、员工福利等。这些都对国有企业的法人治理提出了更高要求。</w:t>
      </w:r>
    </w:p>
    <w:p w14:paraId="3D4D861F">
      <w:pPr>
        <w:adjustRightInd w:val="0"/>
        <w:snapToGrid w:val="0"/>
        <w:spacing w:line="480" w:lineRule="exact"/>
        <w:ind w:firstLine="480" w:firstLineChars="200"/>
        <w:rPr>
          <w:rFonts w:ascii="宋体" w:hAnsi="宋体"/>
          <w:sz w:val="24"/>
          <w:szCs w:val="24"/>
        </w:rPr>
      </w:pPr>
      <w:r>
        <w:rPr>
          <w:rFonts w:ascii="宋体" w:hAnsi="宋体"/>
          <w:sz w:val="24"/>
          <w:szCs w:val="24"/>
        </w:rPr>
        <w:t>在此背景下，完善国有企业法人治理结构已成为当务之急。通过优化治理结构，明确各方权责，强化监督机制，提升信息披露透明度，国有企业可以有效提升经营效率，降低运营风险，实现高质量发展。同时，国有企业还需要适应新《公司法》的要求，确保治理结构合规高效，为企业的长远发展奠定坚实基础。</w:t>
      </w:r>
    </w:p>
    <w:p w14:paraId="38C7B3F9">
      <w:pPr>
        <w:adjustRightInd w:val="0"/>
        <w:snapToGrid w:val="0"/>
        <w:spacing w:line="480" w:lineRule="exact"/>
        <w:ind w:firstLine="480" w:firstLineChars="200"/>
        <w:rPr>
          <w:rFonts w:ascii="宋体" w:hAnsi="宋体"/>
          <w:sz w:val="24"/>
          <w:szCs w:val="24"/>
        </w:rPr>
      </w:pPr>
      <w:r>
        <w:rPr>
          <w:rFonts w:ascii="宋体" w:hAnsi="宋体"/>
          <w:sz w:val="24"/>
          <w:szCs w:val="24"/>
        </w:rPr>
        <w:t>本课程旨在帮助国有企业中层管理干部深入理解法人治理的核心要义，掌握现代企业制度下的治理机制，提升企业治理能力，推动国有企业高质量发展。课程内容紧密结合国有企业实际，既有理论深度，又有实践案例，帮助学员学以致用。</w:t>
      </w:r>
    </w:p>
    <w:p w14:paraId="4688D91A">
      <w:pPr>
        <w:adjustRightInd w:val="0"/>
        <w:snapToGrid w:val="0"/>
        <w:spacing w:line="480" w:lineRule="exact"/>
        <w:rPr>
          <w:rFonts w:ascii="宋体" w:hAnsi="宋体" w:cs="Arial"/>
          <w:b/>
          <w:bCs/>
          <w:color w:val="1F4E79"/>
          <w:kern w:val="0"/>
          <w:sz w:val="24"/>
          <w:szCs w:val="24"/>
        </w:rPr>
      </w:pPr>
    </w:p>
    <w:p w14:paraId="731E002C">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课程收益：</w:t>
      </w:r>
    </w:p>
    <w:p w14:paraId="30597BBB">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1. </w:t>
      </w:r>
      <w:r>
        <w:rPr>
          <w:rFonts w:ascii="宋体" w:hAnsi="宋体"/>
          <w:sz w:val="24"/>
          <w:szCs w:val="24"/>
        </w:rPr>
        <w:t>提升理论水平：系统学习国有企业法人治理的理论框架，掌握现代企业制度下的治理机制，提升理论水平。</w:t>
      </w:r>
    </w:p>
    <w:p w14:paraId="5BF989D5">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2. </w:t>
      </w:r>
      <w:r>
        <w:rPr>
          <w:rFonts w:ascii="宋体" w:hAnsi="宋体"/>
          <w:sz w:val="24"/>
          <w:szCs w:val="24"/>
        </w:rPr>
        <w:t>掌握实践技能：通过案例分析，学习国内外优秀国有企业的治理经验，掌握实践技能。</w:t>
      </w:r>
    </w:p>
    <w:p w14:paraId="5B45D992">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3. </w:t>
      </w:r>
      <w:r>
        <w:rPr>
          <w:rFonts w:ascii="宋体" w:hAnsi="宋体"/>
          <w:sz w:val="24"/>
          <w:szCs w:val="24"/>
        </w:rPr>
        <w:t>优化治理结构：深入理解国有企业法人治理结构的构建与优化，提升企业治理能力。</w:t>
      </w:r>
    </w:p>
    <w:p w14:paraId="37876187">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4. </w:t>
      </w:r>
      <w:r>
        <w:rPr>
          <w:rFonts w:ascii="宋体" w:hAnsi="宋体"/>
          <w:sz w:val="24"/>
          <w:szCs w:val="24"/>
        </w:rPr>
        <w:t>增强风险意识：学习国有企业法人治理中的风险防控机制，增强风险意识，提升企业抗风险能力。</w:t>
      </w:r>
    </w:p>
    <w:p w14:paraId="0A9497F9">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5. </w:t>
      </w:r>
      <w:r>
        <w:rPr>
          <w:rFonts w:ascii="宋体" w:hAnsi="宋体"/>
          <w:sz w:val="24"/>
          <w:szCs w:val="24"/>
        </w:rPr>
        <w:t>推动创新发展：了解国有企业法人治理的优化与创新路径，推动企业创新发展。</w:t>
      </w:r>
    </w:p>
    <w:p w14:paraId="0C311CED">
      <w:pPr>
        <w:tabs>
          <w:tab w:val="left" w:pos="720"/>
        </w:tabs>
        <w:adjustRightInd w:val="0"/>
        <w:snapToGrid w:val="0"/>
        <w:spacing w:line="480" w:lineRule="exact"/>
        <w:rPr>
          <w:rFonts w:ascii="宋体" w:hAnsi="宋体"/>
          <w:sz w:val="24"/>
          <w:szCs w:val="24"/>
        </w:rPr>
      </w:pPr>
      <w:r>
        <w:rPr>
          <w:rFonts w:hint="eastAsia" w:ascii="宋体" w:hAnsi="宋体"/>
          <w:sz w:val="24"/>
          <w:szCs w:val="24"/>
        </w:rPr>
        <w:t xml:space="preserve">6. </w:t>
      </w:r>
      <w:r>
        <w:rPr>
          <w:rFonts w:ascii="宋体" w:hAnsi="宋体"/>
          <w:sz w:val="24"/>
          <w:szCs w:val="24"/>
        </w:rPr>
        <w:t>适应新公司法：全面掌握新公司法对国有企业法人治理的影响，确保企业治理合规高效。</w:t>
      </w:r>
    </w:p>
    <w:p w14:paraId="5F3688B6">
      <w:pPr>
        <w:adjustRightInd w:val="0"/>
        <w:snapToGrid w:val="0"/>
        <w:spacing w:line="480" w:lineRule="exact"/>
        <w:rPr>
          <w:rFonts w:ascii="宋体" w:hAnsi="宋体" w:cs="Arial"/>
          <w:b/>
          <w:bCs/>
          <w:color w:val="1F4E79"/>
          <w:kern w:val="0"/>
          <w:sz w:val="24"/>
          <w:szCs w:val="24"/>
        </w:rPr>
      </w:pPr>
    </w:p>
    <w:p w14:paraId="10B22467">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课程亮点：</w:t>
      </w:r>
    </w:p>
    <w:p w14:paraId="39AB5CCA">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1. </w:t>
      </w:r>
      <w:r>
        <w:rPr>
          <w:rFonts w:ascii="宋体" w:hAnsi="宋体" w:cs="Arial"/>
          <w:bCs/>
          <w:kern w:val="0"/>
          <w:sz w:val="24"/>
          <w:szCs w:val="24"/>
        </w:rPr>
        <w:t>权威专家授课：由资深国企改革专家、法学教授王若文亲自授课，确保课程内容的权威性与专业性。</w:t>
      </w:r>
    </w:p>
    <w:p w14:paraId="56D4591F">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2. </w:t>
      </w:r>
      <w:r>
        <w:rPr>
          <w:rFonts w:ascii="宋体" w:hAnsi="宋体" w:cs="Arial"/>
          <w:bCs/>
          <w:kern w:val="0"/>
          <w:sz w:val="24"/>
          <w:szCs w:val="24"/>
        </w:rPr>
        <w:t>理论与实践结合：课程内容既有理论深度，又有实践案例，帮助学员学以致用。</w:t>
      </w:r>
    </w:p>
    <w:p w14:paraId="239E7E7E">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3. </w:t>
      </w:r>
      <w:r>
        <w:rPr>
          <w:rFonts w:ascii="宋体" w:hAnsi="宋体" w:cs="Arial"/>
          <w:bCs/>
          <w:kern w:val="0"/>
          <w:sz w:val="24"/>
          <w:szCs w:val="24"/>
        </w:rPr>
        <w:t>案例教学：通过国内外优秀国有企业的治理案例分析，帮助学员深入理解法人治理的核心要义。</w:t>
      </w:r>
    </w:p>
    <w:p w14:paraId="116DD8E9">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4. </w:t>
      </w:r>
      <w:r>
        <w:rPr>
          <w:rFonts w:ascii="宋体" w:hAnsi="宋体" w:cs="Arial"/>
          <w:bCs/>
          <w:kern w:val="0"/>
          <w:sz w:val="24"/>
          <w:szCs w:val="24"/>
        </w:rPr>
        <w:t>互动教学：采用互动式教学方式，鼓励学员积极参与讨论，提升学习效果。</w:t>
      </w:r>
    </w:p>
    <w:p w14:paraId="353C1B7C">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5. </w:t>
      </w:r>
      <w:r>
        <w:rPr>
          <w:rFonts w:ascii="宋体" w:hAnsi="宋体" w:cs="Arial"/>
          <w:bCs/>
          <w:kern w:val="0"/>
          <w:sz w:val="24"/>
          <w:szCs w:val="24"/>
        </w:rPr>
        <w:t>实用性强：课程内容紧密结合国有企业实际，帮助学员解决实际问题。</w:t>
      </w:r>
    </w:p>
    <w:p w14:paraId="36703AE6">
      <w:pPr>
        <w:widowControl/>
        <w:shd w:val="clear" w:color="auto" w:fill="FFFFFF"/>
        <w:tabs>
          <w:tab w:val="left" w:pos="720"/>
        </w:tabs>
        <w:spacing w:line="480" w:lineRule="exact"/>
        <w:rPr>
          <w:rFonts w:ascii="宋体" w:hAnsi="宋体" w:cs="Arial"/>
          <w:bCs/>
          <w:kern w:val="0"/>
          <w:sz w:val="24"/>
          <w:szCs w:val="24"/>
        </w:rPr>
      </w:pPr>
      <w:r>
        <w:rPr>
          <w:rFonts w:hint="eastAsia" w:ascii="宋体" w:hAnsi="宋体" w:cs="Arial"/>
          <w:bCs/>
          <w:kern w:val="0"/>
          <w:sz w:val="24"/>
          <w:szCs w:val="24"/>
        </w:rPr>
        <w:t xml:space="preserve">6. </w:t>
      </w:r>
      <w:r>
        <w:rPr>
          <w:rFonts w:ascii="宋体" w:hAnsi="宋体" w:cs="Arial"/>
          <w:bCs/>
          <w:kern w:val="0"/>
          <w:sz w:val="24"/>
          <w:szCs w:val="24"/>
        </w:rPr>
        <w:t>新公司法解读：专门章节解读新公司法对国有企业法人治理的影响，确保学员掌握最新法规动态。</w:t>
      </w:r>
    </w:p>
    <w:p w14:paraId="5C929118">
      <w:pPr>
        <w:adjustRightInd w:val="0"/>
        <w:snapToGrid w:val="0"/>
        <w:spacing w:line="480" w:lineRule="exact"/>
        <w:rPr>
          <w:rFonts w:ascii="宋体" w:hAnsi="宋体" w:cs="Arial"/>
          <w:b/>
          <w:bCs/>
          <w:color w:val="1F4E79"/>
          <w:kern w:val="0"/>
          <w:sz w:val="24"/>
          <w:szCs w:val="24"/>
        </w:rPr>
      </w:pPr>
    </w:p>
    <w:p w14:paraId="69F233A1">
      <w:pPr>
        <w:adjustRightInd w:val="0"/>
        <w:snapToGrid w:val="0"/>
        <w:spacing w:line="480" w:lineRule="exact"/>
        <w:rPr>
          <w:rFonts w:hint="eastAsia" w:ascii="宋体" w:hAnsi="宋体" w:cs="Arial"/>
          <w:b/>
          <w:bCs/>
          <w:color w:val="1F4E79"/>
          <w:kern w:val="0"/>
          <w:sz w:val="24"/>
          <w:szCs w:val="24"/>
        </w:rPr>
      </w:pPr>
      <w:r>
        <w:rPr>
          <w:rFonts w:hint="eastAsia" w:ascii="宋体" w:hAnsi="宋体" w:cs="Arial"/>
          <w:b/>
          <w:bCs/>
          <w:color w:val="1F4E79"/>
          <w:kern w:val="0"/>
          <w:sz w:val="24"/>
          <w:szCs w:val="24"/>
        </w:rPr>
        <w:t>课程时间：</w:t>
      </w:r>
      <w:r>
        <w:rPr>
          <w:rFonts w:hint="eastAsia" w:ascii="宋体" w:hAnsi="宋体"/>
          <w:bCs/>
          <w:sz w:val="24"/>
          <w:szCs w:val="24"/>
        </w:rPr>
        <w:t>1-2天，6小时/天</w:t>
      </w:r>
    </w:p>
    <w:p w14:paraId="63AAB24F">
      <w:pPr>
        <w:adjustRightInd w:val="0"/>
        <w:snapToGrid w:val="0"/>
        <w:spacing w:line="480" w:lineRule="exact"/>
        <w:rPr>
          <w:rFonts w:hint="eastAsia" w:ascii="宋体" w:hAnsi="宋体"/>
          <w:bCs/>
          <w:sz w:val="24"/>
          <w:szCs w:val="24"/>
        </w:rPr>
      </w:pPr>
      <w:r>
        <w:rPr>
          <w:rFonts w:hint="eastAsia" w:ascii="宋体" w:hAnsi="宋体" w:cs="Arial"/>
          <w:b/>
          <w:bCs/>
          <w:color w:val="1F4E79"/>
          <w:kern w:val="0"/>
          <w:sz w:val="24"/>
          <w:szCs w:val="24"/>
        </w:rPr>
        <w:t>课程对象：</w:t>
      </w:r>
      <w:r>
        <w:rPr>
          <w:rFonts w:hint="eastAsia" w:ascii="宋体" w:hAnsi="宋体"/>
          <w:bCs/>
          <w:sz w:val="24"/>
          <w:szCs w:val="24"/>
        </w:rPr>
        <w:t>企业中（高）层管理干部、部分企业骨干成员</w:t>
      </w:r>
    </w:p>
    <w:p w14:paraId="6A392D32">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课程方式：</w:t>
      </w:r>
    </w:p>
    <w:p w14:paraId="691FBAFA">
      <w:pPr>
        <w:tabs>
          <w:tab w:val="left" w:pos="720"/>
        </w:tabs>
        <w:adjustRightInd w:val="0"/>
        <w:snapToGrid w:val="0"/>
        <w:spacing w:line="480" w:lineRule="exact"/>
        <w:rPr>
          <w:rFonts w:ascii="宋体" w:hAnsi="宋体"/>
          <w:bCs/>
          <w:sz w:val="24"/>
          <w:szCs w:val="24"/>
        </w:rPr>
      </w:pPr>
      <w:r>
        <w:rPr>
          <w:rFonts w:hint="eastAsia" w:ascii="宋体" w:hAnsi="宋体"/>
          <w:bCs/>
          <w:sz w:val="24"/>
          <w:szCs w:val="24"/>
        </w:rPr>
        <w:t xml:space="preserve">1. </w:t>
      </w:r>
      <w:r>
        <w:rPr>
          <w:rFonts w:ascii="宋体" w:hAnsi="宋体"/>
          <w:bCs/>
          <w:sz w:val="24"/>
          <w:szCs w:val="24"/>
        </w:rPr>
        <w:t>讲授与讨论相结合：理论讲解后引导学员讨论，促进知识吸收与内化。</w:t>
      </w:r>
    </w:p>
    <w:p w14:paraId="58780C17">
      <w:pPr>
        <w:tabs>
          <w:tab w:val="left" w:pos="720"/>
        </w:tabs>
        <w:adjustRightInd w:val="0"/>
        <w:snapToGrid w:val="0"/>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案例教学：通过案例分析将理论与实践紧密结合，提升学习效果。</w:t>
      </w:r>
    </w:p>
    <w:p w14:paraId="44D75E25">
      <w:pPr>
        <w:tabs>
          <w:tab w:val="left" w:pos="720"/>
        </w:tabs>
        <w:adjustRightInd w:val="0"/>
        <w:snapToGrid w:val="0"/>
        <w:spacing w:line="480" w:lineRule="exact"/>
        <w:rPr>
          <w:rFonts w:ascii="宋体" w:hAnsi="宋体"/>
          <w:bCs/>
          <w:sz w:val="24"/>
          <w:szCs w:val="24"/>
        </w:rPr>
      </w:pPr>
      <w:r>
        <w:rPr>
          <w:rFonts w:hint="eastAsia" w:ascii="宋体" w:hAnsi="宋体"/>
          <w:bCs/>
          <w:sz w:val="24"/>
          <w:szCs w:val="24"/>
        </w:rPr>
        <w:t xml:space="preserve">3. </w:t>
      </w:r>
      <w:r>
        <w:rPr>
          <w:rFonts w:ascii="宋体" w:hAnsi="宋体"/>
          <w:bCs/>
          <w:sz w:val="24"/>
          <w:szCs w:val="24"/>
        </w:rPr>
        <w:t>幽默风趣：以轻松幽默的授课风格，营造愉悦的学习氛围，激发学员兴趣。</w:t>
      </w:r>
    </w:p>
    <w:p w14:paraId="6FA21490">
      <w:pPr>
        <w:adjustRightInd w:val="0"/>
        <w:snapToGrid w:val="0"/>
        <w:spacing w:line="480" w:lineRule="exact"/>
        <w:rPr>
          <w:rFonts w:ascii="宋体" w:hAnsi="宋体" w:cs="Arial"/>
          <w:b/>
          <w:bCs/>
          <w:color w:val="1F4E79"/>
          <w:kern w:val="0"/>
          <w:sz w:val="24"/>
          <w:szCs w:val="24"/>
        </w:rPr>
      </w:pPr>
    </w:p>
    <w:p w14:paraId="11257EB5">
      <w:pPr>
        <w:adjustRightInd w:val="0"/>
        <w:snapToGrid w:val="0"/>
        <w:spacing w:line="480" w:lineRule="exact"/>
        <w:jc w:val="center"/>
        <w:rPr>
          <w:rFonts w:hint="eastAsia" w:ascii="宋体" w:hAnsi="宋体" w:cs="Arial"/>
          <w:b/>
          <w:bCs/>
          <w:color w:val="1F4E79"/>
          <w:kern w:val="0"/>
          <w:sz w:val="24"/>
          <w:szCs w:val="24"/>
        </w:rPr>
      </w:pPr>
      <w:r>
        <w:rPr>
          <w:rFonts w:hint="eastAsia" w:ascii="宋体" w:hAnsi="宋体" w:cs="Arial"/>
          <w:b/>
          <w:bCs/>
          <w:color w:val="1F4E79"/>
          <w:kern w:val="0"/>
          <w:sz w:val="24"/>
          <w:szCs w:val="24"/>
        </w:rPr>
        <w:t>课程大纲</w:t>
      </w:r>
    </w:p>
    <w:p w14:paraId="5318DADE">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第一讲：</w:t>
      </w:r>
      <w:r>
        <w:rPr>
          <w:rFonts w:ascii="宋体" w:hAnsi="宋体" w:cs="Arial"/>
          <w:b/>
          <w:bCs/>
          <w:color w:val="1F4E79"/>
          <w:kern w:val="0"/>
          <w:sz w:val="24"/>
          <w:szCs w:val="24"/>
        </w:rPr>
        <w:t>国有企业法人治理</w:t>
      </w:r>
      <w:r>
        <w:rPr>
          <w:rFonts w:hint="eastAsia" w:ascii="宋体" w:hAnsi="宋体" w:cs="Arial"/>
          <w:b/>
          <w:bCs/>
          <w:color w:val="1F4E79"/>
          <w:kern w:val="0"/>
          <w:sz w:val="24"/>
          <w:szCs w:val="24"/>
        </w:rPr>
        <w:t>的系统理念</w:t>
      </w:r>
    </w:p>
    <w:p w14:paraId="2C7A14FB">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一、国有企业的政治站位</w:t>
      </w:r>
    </w:p>
    <w:p w14:paraId="4574EBCF">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二、国企改革要解决什么问题</w:t>
      </w:r>
    </w:p>
    <w:p w14:paraId="3DD1171D">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提升国企经营的效率与动力</w:t>
      </w:r>
    </w:p>
    <w:p w14:paraId="574AEC24">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补短板、降风险、强动力、保方向</w:t>
      </w:r>
    </w:p>
    <w:p w14:paraId="5542E7DD">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建立现代企业制度，推动国企进行公司制改造</w:t>
      </w:r>
    </w:p>
    <w:p w14:paraId="6CAC2B9C">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改善国企经营管理，转换经营机制</w:t>
      </w:r>
    </w:p>
    <w:p w14:paraId="368FF7B7">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三、完善国企现代企业管理制度</w:t>
      </w:r>
    </w:p>
    <w:p w14:paraId="5D948803">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治理结构导致的运营问题</w:t>
      </w:r>
    </w:p>
    <w:p w14:paraId="387FFCF2">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国企治理结构的基本要求与原则</w:t>
      </w:r>
    </w:p>
    <w:p w14:paraId="380703EB">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新公司法的治理趋势</w:t>
      </w:r>
    </w:p>
    <w:p w14:paraId="2FB949BA">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四、国企完善法人治理政策总纲</w:t>
      </w:r>
    </w:p>
    <w:p w14:paraId="4A460BE7">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历史沿革与中国特色</w:t>
      </w:r>
    </w:p>
    <w:p w14:paraId="2D90AC2C">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国企法人治理结构的系列政策</w:t>
      </w:r>
    </w:p>
    <w:p w14:paraId="0551CE27">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3. 国企完善法人治理政策的总纲</w:t>
      </w:r>
    </w:p>
    <w:p w14:paraId="7C6DE864">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1）什么是根</w:t>
      </w:r>
    </w:p>
    <w:p w14:paraId="263B1639">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2）什么是基</w:t>
      </w:r>
    </w:p>
    <w:p w14:paraId="683FA222">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国有企业“三会一层”各主体权责分工</w:t>
      </w:r>
    </w:p>
    <w:p w14:paraId="0E5807EF">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五、加强和改进党对国有企业的领导</w:t>
      </w:r>
    </w:p>
    <w:p w14:paraId="13B24323">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继续深化三年行动要求</w:t>
      </w:r>
    </w:p>
    <w:p w14:paraId="2E3ACBB1">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政治正确的原则</w:t>
      </w:r>
    </w:p>
    <w:p w14:paraId="1E807FF9">
      <w:pPr>
        <w:widowControl/>
        <w:adjustRightInd w:val="0"/>
        <w:snapToGrid w:val="0"/>
        <w:spacing w:line="480" w:lineRule="exact"/>
        <w:rPr>
          <w:rFonts w:hint="eastAsia" w:ascii="宋体" w:hAnsi="宋体" w:cs="Arial"/>
          <w:b/>
          <w:bCs/>
          <w:color w:val="000000"/>
          <w:kern w:val="0"/>
          <w:sz w:val="24"/>
          <w:szCs w:val="24"/>
        </w:rPr>
      </w:pPr>
      <w:r>
        <w:rPr>
          <w:rFonts w:hint="eastAsia" w:ascii="宋体" w:hAnsi="宋体" w:cs="Arial"/>
          <w:b/>
          <w:bCs/>
          <w:color w:val="000000"/>
          <w:kern w:val="0"/>
          <w:sz w:val="24"/>
          <w:szCs w:val="24"/>
        </w:rPr>
        <w:t>3. 党组织参与国企重大问题决策的制度安排</w:t>
      </w:r>
    </w:p>
    <w:p w14:paraId="4740D66D">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1）党的地位</w:t>
      </w:r>
    </w:p>
    <w:p w14:paraId="1B1BCE24">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2）党建工作</w:t>
      </w:r>
    </w:p>
    <w:p w14:paraId="609A844B">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3）国有企业党组织设置</w:t>
      </w:r>
    </w:p>
    <w:p w14:paraId="31D8E0F7">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4）国有企业党委人员的选举和任期</w:t>
      </w:r>
    </w:p>
    <w:p w14:paraId="0EB9C557">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5）国有企业党委和党支部的人员编制</w:t>
      </w:r>
    </w:p>
    <w:p w14:paraId="125A91C1">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6）国有企业党组织负责人的产生</w:t>
      </w:r>
    </w:p>
    <w:p w14:paraId="3A20AE06">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7）纪律检查委员</w:t>
      </w:r>
    </w:p>
    <w:p w14:paraId="7C58D264">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8）临时党组织的成立</w:t>
      </w:r>
    </w:p>
    <w:p w14:paraId="29468EAB">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9）党委会的主要职责</w:t>
      </w:r>
    </w:p>
    <w:p w14:paraId="3B8AE79F">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10）“双向进入、交叉任职”领导体制</w:t>
      </w:r>
    </w:p>
    <w:p w14:paraId="22CB07FE">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11）党委决策前置</w:t>
      </w:r>
    </w:p>
    <w:p w14:paraId="434F8F8F">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12）党组织研究讨论是董事会、经理层决策重大问题的前置程序</w:t>
      </w:r>
    </w:p>
    <w:p w14:paraId="3344893B">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核心政治作用</w:t>
      </w:r>
    </w:p>
    <w:p w14:paraId="2CA79CAC">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5. 党建与生产的融合</w:t>
      </w:r>
    </w:p>
    <w:p w14:paraId="5DE6A815">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六、</w:t>
      </w:r>
      <w:r>
        <w:rPr>
          <w:rFonts w:ascii="宋体" w:hAnsi="宋体"/>
          <w:b/>
          <w:bCs/>
          <w:color w:val="C45911"/>
          <w:sz w:val="24"/>
          <w:szCs w:val="24"/>
        </w:rPr>
        <w:t>国有企业法人治理的法律框架</w:t>
      </w:r>
    </w:p>
    <w:p w14:paraId="2BCCF927">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1. </w:t>
      </w:r>
      <w:r>
        <w:rPr>
          <w:rFonts w:ascii="宋体" w:hAnsi="宋体"/>
          <w:bCs/>
          <w:sz w:val="24"/>
          <w:szCs w:val="24"/>
        </w:rPr>
        <w:t>《公司法》与国有企业法人治理</w:t>
      </w:r>
    </w:p>
    <w:p w14:paraId="4CF7BC91">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《企业国有资产法》与国有企业法人治理</w:t>
      </w:r>
    </w:p>
    <w:p w14:paraId="5E92C6DD">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3. </w:t>
      </w:r>
      <w:r>
        <w:rPr>
          <w:rFonts w:ascii="宋体" w:hAnsi="宋体"/>
          <w:bCs/>
          <w:sz w:val="24"/>
          <w:szCs w:val="24"/>
        </w:rPr>
        <w:t>《国有企业改革指导意见》与国有企业法人治理</w:t>
      </w:r>
    </w:p>
    <w:p w14:paraId="01C35D6C">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4. </w:t>
      </w:r>
      <w:r>
        <w:rPr>
          <w:rFonts w:ascii="宋体" w:hAnsi="宋体"/>
          <w:bCs/>
          <w:sz w:val="24"/>
          <w:szCs w:val="24"/>
        </w:rPr>
        <w:t>《国有企业监事会暂行条例》与国有企业法人治理</w:t>
      </w:r>
    </w:p>
    <w:p w14:paraId="0B0DA904">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5. </w:t>
      </w:r>
      <w:r>
        <w:rPr>
          <w:rFonts w:ascii="宋体" w:hAnsi="宋体"/>
          <w:bCs/>
          <w:sz w:val="24"/>
          <w:szCs w:val="24"/>
        </w:rPr>
        <w:t>《国有企业董事会试点办法》与国有企业法人治理</w:t>
      </w:r>
    </w:p>
    <w:p w14:paraId="318DDCD6">
      <w:pPr>
        <w:tabs>
          <w:tab w:val="left" w:pos="1440"/>
        </w:tabs>
        <w:adjustRightInd w:val="0"/>
        <w:snapToGrid w:val="0"/>
        <w:spacing w:line="480" w:lineRule="exact"/>
        <w:rPr>
          <w:rFonts w:ascii="宋体" w:hAnsi="宋体"/>
          <w:bCs/>
          <w:sz w:val="24"/>
          <w:szCs w:val="24"/>
        </w:rPr>
      </w:pPr>
      <w:r>
        <w:rPr>
          <w:rFonts w:hint="eastAsia" w:ascii="宋体" w:hAnsi="宋体"/>
          <w:bCs/>
          <w:sz w:val="24"/>
          <w:szCs w:val="24"/>
        </w:rPr>
        <w:t xml:space="preserve">6. </w:t>
      </w:r>
      <w:r>
        <w:rPr>
          <w:rFonts w:ascii="宋体" w:hAnsi="宋体"/>
          <w:bCs/>
          <w:sz w:val="24"/>
          <w:szCs w:val="24"/>
        </w:rPr>
        <w:t>《国有企业领导人员管理规定》与国有企业法人治理</w:t>
      </w:r>
    </w:p>
    <w:p w14:paraId="12A2E820">
      <w:pPr>
        <w:adjustRightInd w:val="0"/>
        <w:snapToGrid w:val="0"/>
        <w:spacing w:line="480" w:lineRule="exact"/>
        <w:rPr>
          <w:rFonts w:ascii="宋体" w:hAnsi="宋体" w:cs="Arial"/>
          <w:b/>
          <w:bCs/>
          <w:color w:val="1F4E79"/>
          <w:kern w:val="0"/>
          <w:sz w:val="24"/>
          <w:szCs w:val="24"/>
        </w:rPr>
      </w:pPr>
    </w:p>
    <w:p w14:paraId="01CB8F84">
      <w:pPr>
        <w:adjustRightInd w:val="0"/>
        <w:snapToGrid w:val="0"/>
        <w:spacing w:line="480" w:lineRule="exact"/>
        <w:rPr>
          <w:rFonts w:ascii="宋体" w:hAnsi="宋体" w:cs="Arial"/>
          <w:b/>
          <w:bCs/>
          <w:color w:val="1F4E79"/>
          <w:kern w:val="0"/>
          <w:sz w:val="24"/>
          <w:szCs w:val="24"/>
        </w:rPr>
      </w:pPr>
      <w:r>
        <w:rPr>
          <w:rFonts w:ascii="宋体" w:hAnsi="宋体" w:cs="Arial"/>
          <w:b/>
          <w:bCs/>
          <w:color w:val="1F4E79"/>
          <w:kern w:val="0"/>
          <w:sz w:val="24"/>
          <w:szCs w:val="24"/>
        </w:rPr>
        <w:t>第二</w:t>
      </w:r>
      <w:r>
        <w:rPr>
          <w:rFonts w:hint="eastAsia" w:ascii="宋体" w:hAnsi="宋体" w:cs="Arial"/>
          <w:b/>
          <w:bCs/>
          <w:color w:val="1F4E79"/>
          <w:kern w:val="0"/>
          <w:sz w:val="24"/>
          <w:szCs w:val="24"/>
        </w:rPr>
        <w:t>讲</w:t>
      </w:r>
      <w:r>
        <w:rPr>
          <w:rFonts w:ascii="宋体" w:hAnsi="宋体" w:cs="Arial"/>
          <w:b/>
          <w:bCs/>
          <w:color w:val="1F4E79"/>
          <w:kern w:val="0"/>
          <w:sz w:val="24"/>
          <w:szCs w:val="24"/>
        </w:rPr>
        <w:t>：国有企业法人治理结构的构建</w:t>
      </w:r>
    </w:p>
    <w:p w14:paraId="2B42FA64">
      <w:pPr>
        <w:tabs>
          <w:tab w:val="left" w:pos="720"/>
        </w:tabs>
        <w:spacing w:line="480" w:lineRule="exact"/>
        <w:rPr>
          <w:rFonts w:ascii="宋体" w:hAnsi="宋体"/>
          <w:bCs/>
          <w:sz w:val="24"/>
          <w:szCs w:val="24"/>
        </w:rPr>
      </w:pPr>
      <w:r>
        <w:rPr>
          <w:rFonts w:ascii="宋体" w:hAnsi="宋体"/>
          <w:b/>
          <w:sz w:val="24"/>
          <w:szCs w:val="24"/>
        </w:rPr>
        <w:t>案例：</w:t>
      </w:r>
      <w:r>
        <w:rPr>
          <w:rFonts w:ascii="宋体" w:hAnsi="宋体"/>
          <w:bCs/>
          <w:sz w:val="24"/>
          <w:szCs w:val="24"/>
        </w:rPr>
        <w:t>长城集团法人治理结构优化实践</w:t>
      </w:r>
    </w:p>
    <w:p w14:paraId="530FD3B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一、</w:t>
      </w:r>
      <w:r>
        <w:rPr>
          <w:rFonts w:ascii="宋体" w:hAnsi="宋体"/>
          <w:b/>
          <w:bCs/>
          <w:color w:val="C45911"/>
          <w:sz w:val="24"/>
          <w:szCs w:val="24"/>
        </w:rPr>
        <w:t>国有企业法人治理结构的基本框架</w:t>
      </w:r>
    </w:p>
    <w:p w14:paraId="5596DA5F">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股东会</w:t>
      </w:r>
    </w:p>
    <w:p w14:paraId="526B1C0D">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董事会</w:t>
      </w:r>
    </w:p>
    <w:p w14:paraId="3475A013">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w:t>
      </w:r>
    </w:p>
    <w:p w14:paraId="2BAF316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经理层</w:t>
      </w:r>
    </w:p>
    <w:p w14:paraId="5F92BDFD">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党委会</w:t>
      </w:r>
    </w:p>
    <w:p w14:paraId="2CC6659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职工代表大会</w:t>
      </w:r>
    </w:p>
    <w:p w14:paraId="0EEEBAE7">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二、公司法人治理结构的内涵</w:t>
      </w:r>
    </w:p>
    <w:p w14:paraId="13FEFE45">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两权分离的代理关系</w:t>
      </w:r>
    </w:p>
    <w:p w14:paraId="011254BF">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组织管理的三个层面</w:t>
      </w:r>
    </w:p>
    <w:p w14:paraId="650EB608">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法人治理结构的四大特征</w:t>
      </w:r>
    </w:p>
    <w:p w14:paraId="690C932C">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公司治理结构</w:t>
      </w:r>
    </w:p>
    <w:p w14:paraId="65597815">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三、公司股东会与企业治理</w:t>
      </w:r>
    </w:p>
    <w:p w14:paraId="3C11733C">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 股东与公司：所有权与公司价值</w:t>
      </w:r>
    </w:p>
    <w:p w14:paraId="1D1B5785">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股东与公司治理</w:t>
      </w:r>
    </w:p>
    <w:p w14:paraId="0CAB61D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 股东会是公司最高权力机关</w:t>
      </w:r>
    </w:p>
    <w:p w14:paraId="210CC3B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 股东会通过会议研讨公司的重大事务和重大决策</w:t>
      </w:r>
    </w:p>
    <w:p w14:paraId="77045DD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 股东会的召开由董事会或监事会召集</w:t>
      </w:r>
    </w:p>
    <w:p w14:paraId="2E35E50D">
      <w:pPr>
        <w:widowControl/>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6. 股东会会议的表决由股东按照出资比例行使表决权</w:t>
      </w:r>
    </w:p>
    <w:p w14:paraId="222846E3">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四、</w:t>
      </w:r>
      <w:r>
        <w:rPr>
          <w:rFonts w:ascii="宋体" w:hAnsi="宋体"/>
          <w:b/>
          <w:bCs/>
          <w:color w:val="C45911"/>
          <w:sz w:val="24"/>
          <w:szCs w:val="24"/>
        </w:rPr>
        <w:t>国有企业法人治理结构的构建原则</w:t>
      </w:r>
    </w:p>
    <w:p w14:paraId="1254732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权责明确</w:t>
      </w:r>
    </w:p>
    <w:p w14:paraId="1D622E1A">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制衡有效</w:t>
      </w:r>
    </w:p>
    <w:p w14:paraId="1DC9B99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协调运转</w:t>
      </w:r>
    </w:p>
    <w:p w14:paraId="1CC0C03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科学决策</w:t>
      </w:r>
    </w:p>
    <w:p w14:paraId="4A8B266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民主管理</w:t>
      </w:r>
    </w:p>
    <w:p w14:paraId="7A577075">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依法治理</w:t>
      </w:r>
    </w:p>
    <w:p w14:paraId="5940AE9E">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五、</w:t>
      </w:r>
      <w:r>
        <w:rPr>
          <w:rFonts w:ascii="宋体" w:hAnsi="宋体"/>
          <w:b/>
          <w:bCs/>
          <w:color w:val="C45911"/>
          <w:sz w:val="24"/>
          <w:szCs w:val="24"/>
        </w:rPr>
        <w:t>国有企业法人治理结构的构建步骤</w:t>
      </w:r>
    </w:p>
    <w:p w14:paraId="5FF8EB6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明确治理目标</w:t>
      </w:r>
    </w:p>
    <w:p w14:paraId="65FDFE51">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设计治理结构</w:t>
      </w:r>
    </w:p>
    <w:p w14:paraId="2ABEF86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制定治理规则</w:t>
      </w:r>
    </w:p>
    <w:p w14:paraId="20314105">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实施治理机制</w:t>
      </w:r>
    </w:p>
    <w:p w14:paraId="42EBED90">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评估治理效果</w:t>
      </w:r>
    </w:p>
    <w:p w14:paraId="437E2E7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优化治理结构</w:t>
      </w:r>
    </w:p>
    <w:p w14:paraId="7481760E">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六、治理结构之三会高效协作</w:t>
      </w:r>
    </w:p>
    <w:p w14:paraId="01FDC441">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三会运作模式</w:t>
      </w:r>
    </w:p>
    <w:p w14:paraId="0D320ECC">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主体责任与监管责任</w:t>
      </w:r>
    </w:p>
    <w:p w14:paraId="7BD1648A">
      <w:pPr>
        <w:adjustRightInd w:val="0"/>
        <w:snapToGrid w:val="0"/>
        <w:spacing w:line="480" w:lineRule="exact"/>
        <w:rPr>
          <w:rFonts w:ascii="宋体" w:hAnsi="宋体" w:cs="Arial"/>
          <w:b/>
          <w:bCs/>
          <w:color w:val="1F4E79"/>
          <w:kern w:val="0"/>
          <w:sz w:val="24"/>
          <w:szCs w:val="24"/>
        </w:rPr>
      </w:pPr>
    </w:p>
    <w:p w14:paraId="30A3595B">
      <w:pPr>
        <w:adjustRightInd w:val="0"/>
        <w:snapToGrid w:val="0"/>
        <w:spacing w:line="480" w:lineRule="exact"/>
        <w:rPr>
          <w:rFonts w:ascii="宋体" w:hAnsi="宋体" w:cs="Arial"/>
          <w:b/>
          <w:bCs/>
          <w:color w:val="1F4E79"/>
          <w:kern w:val="0"/>
          <w:sz w:val="24"/>
          <w:szCs w:val="24"/>
        </w:rPr>
      </w:pPr>
      <w:r>
        <w:rPr>
          <w:rFonts w:ascii="宋体" w:hAnsi="宋体" w:cs="Arial"/>
          <w:b/>
          <w:bCs/>
          <w:color w:val="1F4E79"/>
          <w:kern w:val="0"/>
          <w:sz w:val="24"/>
          <w:szCs w:val="24"/>
        </w:rPr>
        <w:t>第三</w:t>
      </w:r>
      <w:r>
        <w:rPr>
          <w:rFonts w:hint="eastAsia" w:ascii="宋体" w:hAnsi="宋体" w:cs="Arial"/>
          <w:b/>
          <w:bCs/>
          <w:color w:val="1F4E79"/>
          <w:kern w:val="0"/>
          <w:sz w:val="24"/>
          <w:szCs w:val="24"/>
        </w:rPr>
        <w:t>讲</w:t>
      </w:r>
      <w:r>
        <w:rPr>
          <w:rFonts w:ascii="宋体" w:hAnsi="宋体" w:cs="Arial"/>
          <w:b/>
          <w:bCs/>
          <w:color w:val="1F4E79"/>
          <w:kern w:val="0"/>
          <w:sz w:val="24"/>
          <w:szCs w:val="24"/>
        </w:rPr>
        <w:t>：国有企业</w:t>
      </w:r>
      <w:r>
        <w:rPr>
          <w:rFonts w:hint="eastAsia" w:ascii="宋体" w:hAnsi="宋体" w:cs="Arial"/>
          <w:b/>
          <w:bCs/>
          <w:color w:val="1F4E79"/>
          <w:kern w:val="0"/>
          <w:sz w:val="24"/>
          <w:szCs w:val="24"/>
        </w:rPr>
        <w:t>落实董事会的各项法定权利</w:t>
      </w:r>
    </w:p>
    <w:p w14:paraId="04961E6D">
      <w:pPr>
        <w:tabs>
          <w:tab w:val="left" w:pos="720"/>
        </w:tabs>
        <w:spacing w:line="480" w:lineRule="exact"/>
        <w:rPr>
          <w:rFonts w:ascii="宋体" w:hAnsi="宋体"/>
          <w:bCs/>
          <w:sz w:val="24"/>
          <w:szCs w:val="24"/>
        </w:rPr>
      </w:pPr>
      <w:r>
        <w:rPr>
          <w:rFonts w:hint="eastAsia" w:ascii="宋体" w:hAnsi="宋体"/>
          <w:b/>
          <w:sz w:val="24"/>
          <w:szCs w:val="24"/>
        </w:rPr>
        <w:t>案例</w:t>
      </w:r>
      <w:r>
        <w:rPr>
          <w:rFonts w:hint="eastAsia" w:ascii="宋体" w:hAnsi="宋体"/>
          <w:bCs/>
          <w:sz w:val="24"/>
          <w:szCs w:val="24"/>
        </w:rPr>
        <w:t>：宝能系“血洗南玻A”，突显中国式公司治理的致命缺陷</w:t>
      </w:r>
    </w:p>
    <w:p w14:paraId="01CA32E7">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一、董事会的制度建设</w:t>
      </w:r>
    </w:p>
    <w:p w14:paraId="2907E731">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二、董事会的构成与作用</w:t>
      </w:r>
    </w:p>
    <w:p w14:paraId="206AA572">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董事会办公室</w:t>
      </w:r>
    </w:p>
    <w:p w14:paraId="5E756293">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董事长或董事会主席</w:t>
      </w:r>
    </w:p>
    <w:p w14:paraId="71BB81D2">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董事会秘书</w:t>
      </w:r>
    </w:p>
    <w:p w14:paraId="2F7050CC">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三、董事会的功能定位</w:t>
      </w:r>
    </w:p>
    <w:p w14:paraId="11C6F0AF">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四、专门委员会</w:t>
      </w:r>
    </w:p>
    <w:p w14:paraId="3DCB2093">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战略委员会</w:t>
      </w:r>
    </w:p>
    <w:p w14:paraId="3ED59C6B">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提名委员会</w:t>
      </w:r>
    </w:p>
    <w:p w14:paraId="57B95442">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审计委员会（新公司法下的特殊作用）</w:t>
      </w:r>
    </w:p>
    <w:p w14:paraId="4B0D7700">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薪酬与考核委员会</w:t>
      </w:r>
    </w:p>
    <w:p w14:paraId="145F3C52">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五、独立（外部）董事的履职与要求</w:t>
      </w:r>
    </w:p>
    <w:p w14:paraId="63676255">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“外大于内”的法律依据</w:t>
      </w:r>
    </w:p>
    <w:p w14:paraId="4C8EC1D4">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独立（外部）董事价值和标准</w:t>
      </w:r>
    </w:p>
    <w:p w14:paraId="3E06B211">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独立（外部）董事的任职资格</w:t>
      </w:r>
    </w:p>
    <w:p w14:paraId="4DA43004">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独立（外部）董事在治理中的作用</w:t>
      </w:r>
    </w:p>
    <w:p w14:paraId="2C4A5CE5">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5. 独立（外部）董事履职事项</w:t>
      </w:r>
    </w:p>
    <w:p w14:paraId="18A0E78A">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6. 独立（外部）董事考核细则</w:t>
      </w:r>
    </w:p>
    <w:p w14:paraId="2C0BABEE">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六、规范董事会会议运行</w:t>
      </w:r>
    </w:p>
    <w:p w14:paraId="74F52F15">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规划董事会会议</w:t>
      </w:r>
    </w:p>
    <w:p w14:paraId="5C1AC4DC">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董事会会议的种类</w:t>
      </w:r>
    </w:p>
    <w:p w14:paraId="18CB5C9D">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董事会会议的召集</w:t>
      </w:r>
    </w:p>
    <w:p w14:paraId="48974CE8">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4. 确定法定人数</w:t>
      </w:r>
    </w:p>
    <w:p w14:paraId="79F4DE76">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5. 董事会会议的议程设计与表决制度</w:t>
      </w:r>
    </w:p>
    <w:p w14:paraId="3DA205FC">
      <w:pPr>
        <w:adjustRightInd w:val="0"/>
        <w:snapToGrid w:val="0"/>
        <w:spacing w:line="480" w:lineRule="exact"/>
        <w:rPr>
          <w:rFonts w:hint="eastAsia" w:ascii="宋体" w:hAnsi="宋体"/>
          <w:b/>
          <w:bCs/>
          <w:color w:val="C45911"/>
          <w:sz w:val="24"/>
          <w:szCs w:val="24"/>
        </w:rPr>
      </w:pPr>
      <w:r>
        <w:rPr>
          <w:rFonts w:hint="eastAsia" w:ascii="宋体" w:hAnsi="宋体"/>
          <w:b/>
          <w:bCs/>
          <w:color w:val="C45911"/>
          <w:sz w:val="24"/>
          <w:szCs w:val="24"/>
        </w:rPr>
        <w:t>七、完善并落实董事会的评价</w:t>
      </w:r>
    </w:p>
    <w:p w14:paraId="0AC78F5F">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1. 董董事会评价的意义</w:t>
      </w:r>
    </w:p>
    <w:p w14:paraId="417BEDB1">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2. 事会评价的方式</w:t>
      </w:r>
    </w:p>
    <w:p w14:paraId="268301C0">
      <w:pPr>
        <w:widowControl/>
        <w:tabs>
          <w:tab w:val="left" w:pos="1440"/>
        </w:tabs>
        <w:adjustRightInd w:val="0"/>
        <w:snapToGrid w:val="0"/>
        <w:spacing w:line="480" w:lineRule="exact"/>
        <w:rPr>
          <w:rFonts w:hint="eastAsia" w:ascii="宋体" w:hAnsi="宋体" w:cs="Arial"/>
          <w:color w:val="000000"/>
          <w:kern w:val="0"/>
          <w:sz w:val="24"/>
          <w:szCs w:val="24"/>
        </w:rPr>
      </w:pPr>
      <w:r>
        <w:rPr>
          <w:rFonts w:hint="eastAsia" w:ascii="宋体" w:hAnsi="宋体" w:cs="Arial"/>
          <w:color w:val="000000"/>
          <w:kern w:val="0"/>
          <w:sz w:val="24"/>
          <w:szCs w:val="24"/>
        </w:rPr>
        <w:t>3. 董事会评价的结果</w:t>
      </w:r>
    </w:p>
    <w:p w14:paraId="6527C1C4">
      <w:pPr>
        <w:adjustRightInd w:val="0"/>
        <w:snapToGrid w:val="0"/>
        <w:spacing w:line="480" w:lineRule="exact"/>
        <w:rPr>
          <w:rFonts w:ascii="宋体" w:hAnsi="宋体" w:cs="Arial"/>
          <w:b/>
          <w:bCs/>
          <w:color w:val="1F4E79"/>
          <w:kern w:val="0"/>
          <w:sz w:val="24"/>
          <w:szCs w:val="24"/>
        </w:rPr>
      </w:pPr>
    </w:p>
    <w:p w14:paraId="71EC8A3E">
      <w:pPr>
        <w:adjustRightInd w:val="0"/>
        <w:snapToGrid w:val="0"/>
        <w:spacing w:line="480" w:lineRule="exact"/>
        <w:rPr>
          <w:rFonts w:ascii="宋体" w:hAnsi="宋体" w:cs="Arial"/>
          <w:b/>
          <w:bCs/>
          <w:color w:val="1F4E79"/>
          <w:kern w:val="0"/>
          <w:sz w:val="24"/>
          <w:szCs w:val="24"/>
        </w:rPr>
      </w:pPr>
      <w:r>
        <w:rPr>
          <w:rFonts w:ascii="宋体" w:hAnsi="宋体" w:cs="Arial"/>
          <w:b/>
          <w:bCs/>
          <w:color w:val="1F4E79"/>
          <w:kern w:val="0"/>
          <w:sz w:val="24"/>
          <w:szCs w:val="24"/>
        </w:rPr>
        <w:t>第四</w:t>
      </w:r>
      <w:r>
        <w:rPr>
          <w:rFonts w:hint="eastAsia" w:ascii="宋体" w:hAnsi="宋体" w:cs="Arial"/>
          <w:b/>
          <w:bCs/>
          <w:color w:val="1F4E79"/>
          <w:kern w:val="0"/>
          <w:sz w:val="24"/>
          <w:szCs w:val="24"/>
        </w:rPr>
        <w:t>讲</w:t>
      </w:r>
      <w:r>
        <w:rPr>
          <w:rFonts w:ascii="宋体" w:hAnsi="宋体" w:cs="Arial"/>
          <w:b/>
          <w:bCs/>
          <w:color w:val="1F4E79"/>
          <w:kern w:val="0"/>
          <w:sz w:val="24"/>
          <w:szCs w:val="24"/>
        </w:rPr>
        <w:t>：国有企业监事会治理</w:t>
      </w:r>
    </w:p>
    <w:p w14:paraId="7ED910E0">
      <w:pPr>
        <w:tabs>
          <w:tab w:val="left" w:pos="720"/>
        </w:tabs>
        <w:spacing w:line="480" w:lineRule="exact"/>
        <w:rPr>
          <w:rFonts w:ascii="宋体" w:hAnsi="宋体"/>
          <w:bCs/>
          <w:sz w:val="24"/>
          <w:szCs w:val="24"/>
        </w:rPr>
      </w:pPr>
      <w:r>
        <w:rPr>
          <w:rFonts w:ascii="宋体" w:hAnsi="宋体"/>
          <w:b/>
          <w:sz w:val="24"/>
          <w:szCs w:val="24"/>
        </w:rPr>
        <w:t>案例</w:t>
      </w:r>
      <w:r>
        <w:rPr>
          <w:rFonts w:ascii="宋体" w:hAnsi="宋体"/>
          <w:bCs/>
          <w:sz w:val="24"/>
          <w:szCs w:val="24"/>
        </w:rPr>
        <w:t>：中国石油监事会治理优化实践</w:t>
      </w:r>
    </w:p>
    <w:p w14:paraId="2FCB3C37">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一、</w:t>
      </w:r>
      <w:r>
        <w:rPr>
          <w:rFonts w:ascii="宋体" w:hAnsi="宋体"/>
          <w:b/>
          <w:bCs/>
          <w:color w:val="C45911"/>
          <w:sz w:val="24"/>
          <w:szCs w:val="24"/>
        </w:rPr>
        <w:t>国有企业监事会的职能与作用</w:t>
      </w:r>
    </w:p>
    <w:p w14:paraId="66E8390B">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监事会的定义与职能</w:t>
      </w:r>
    </w:p>
    <w:p w14:paraId="2DE7B095">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监事会的组成与结构</w:t>
      </w:r>
    </w:p>
    <w:p w14:paraId="270E757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监事会的监督机制</w:t>
      </w:r>
    </w:p>
    <w:p w14:paraId="027E75B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监事会的评估机制</w:t>
      </w:r>
    </w:p>
    <w:p w14:paraId="2F8989BD">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监事会的激励机制</w:t>
      </w:r>
    </w:p>
    <w:p w14:paraId="35185CD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监事会的决策机制</w:t>
      </w:r>
    </w:p>
    <w:p w14:paraId="16B23C46">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二、</w:t>
      </w:r>
      <w:r>
        <w:rPr>
          <w:rFonts w:ascii="宋体" w:hAnsi="宋体"/>
          <w:b/>
          <w:bCs/>
          <w:color w:val="C45911"/>
          <w:sz w:val="24"/>
          <w:szCs w:val="24"/>
        </w:rPr>
        <w:t>国有企业监事会的构建与优化</w:t>
      </w:r>
    </w:p>
    <w:p w14:paraId="2D3F66D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监事会的构建原则</w:t>
      </w:r>
    </w:p>
    <w:p w14:paraId="15C39867">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监事会的构建步骤</w:t>
      </w:r>
    </w:p>
    <w:p w14:paraId="6B9ECE0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监事会的优化路径</w:t>
      </w:r>
    </w:p>
    <w:p w14:paraId="5CE22E5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监事会的评估机制</w:t>
      </w:r>
    </w:p>
    <w:p w14:paraId="76A04337">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监事会的激励机制</w:t>
      </w:r>
    </w:p>
    <w:p w14:paraId="48EB924E">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监事会的监督机制</w:t>
      </w:r>
    </w:p>
    <w:p w14:paraId="36F37EDC">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三、</w:t>
      </w:r>
      <w:r>
        <w:rPr>
          <w:rFonts w:ascii="宋体" w:hAnsi="宋体"/>
          <w:b/>
          <w:bCs/>
          <w:color w:val="C45911"/>
          <w:sz w:val="24"/>
          <w:szCs w:val="24"/>
        </w:rPr>
        <w:t>国有企业监事会的监督机制</w:t>
      </w:r>
    </w:p>
    <w:p w14:paraId="738B6FFF">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监事会的监督流程</w:t>
      </w:r>
    </w:p>
    <w:p w14:paraId="04DD1772">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监事会的监督规则</w:t>
      </w:r>
    </w:p>
    <w:p w14:paraId="4688B3DB">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监事会的监督评估</w:t>
      </w:r>
    </w:p>
    <w:p w14:paraId="47E8970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监事会的监督激励</w:t>
      </w:r>
    </w:p>
    <w:p w14:paraId="1F612037">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监事会的监督优化</w:t>
      </w:r>
    </w:p>
    <w:p w14:paraId="553C0380">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监事会的监督决策</w:t>
      </w:r>
    </w:p>
    <w:p w14:paraId="38D0EB15">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四、</w:t>
      </w:r>
      <w:r>
        <w:rPr>
          <w:rFonts w:ascii="宋体" w:hAnsi="宋体"/>
          <w:b/>
          <w:bCs/>
          <w:color w:val="C45911"/>
          <w:sz w:val="24"/>
          <w:szCs w:val="24"/>
        </w:rPr>
        <w:t>国有企业监事会的评估机制</w:t>
      </w:r>
    </w:p>
    <w:p w14:paraId="1C676A2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监事会的评估职能</w:t>
      </w:r>
    </w:p>
    <w:p w14:paraId="64CA6FEB">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监事会的评估流程</w:t>
      </w:r>
    </w:p>
    <w:p w14:paraId="1DF4628B">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监事会的评估规则</w:t>
      </w:r>
    </w:p>
    <w:p w14:paraId="20A8201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监事会的评估监督</w:t>
      </w:r>
    </w:p>
    <w:p w14:paraId="1F12FF1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监事会的评估激励</w:t>
      </w:r>
    </w:p>
    <w:p w14:paraId="31A9477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监事会的评估优化</w:t>
      </w:r>
    </w:p>
    <w:p w14:paraId="146A884E">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五、</w:t>
      </w:r>
      <w:r>
        <w:rPr>
          <w:rFonts w:ascii="宋体" w:hAnsi="宋体"/>
          <w:b/>
          <w:bCs/>
          <w:color w:val="C45911"/>
          <w:sz w:val="24"/>
          <w:szCs w:val="24"/>
        </w:rPr>
        <w:t>国有企业监事会的激励机制</w:t>
      </w:r>
    </w:p>
    <w:p w14:paraId="248D1AF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监事会的激励职能</w:t>
      </w:r>
    </w:p>
    <w:p w14:paraId="6C6017BF">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监事会的激励流程</w:t>
      </w:r>
    </w:p>
    <w:p w14:paraId="57D4AA5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监事会的激励规则</w:t>
      </w:r>
    </w:p>
    <w:p w14:paraId="596CDDE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监事会的激励评估</w:t>
      </w:r>
    </w:p>
    <w:p w14:paraId="3788DD5A">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监事会的激励监督</w:t>
      </w:r>
    </w:p>
    <w:p w14:paraId="06CFDF1B">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监事会的激励优化</w:t>
      </w:r>
    </w:p>
    <w:p w14:paraId="0F66A71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六、</w:t>
      </w:r>
      <w:r>
        <w:rPr>
          <w:rFonts w:ascii="宋体" w:hAnsi="宋体"/>
          <w:b/>
          <w:bCs/>
          <w:color w:val="C45911"/>
          <w:sz w:val="24"/>
          <w:szCs w:val="24"/>
        </w:rPr>
        <w:t>国有企业监事会的决策机制</w:t>
      </w:r>
    </w:p>
    <w:p w14:paraId="33E59DD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监事会的决策职能</w:t>
      </w:r>
    </w:p>
    <w:p w14:paraId="4627391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监事会的决策流程</w:t>
      </w:r>
    </w:p>
    <w:p w14:paraId="403AB40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监事会的决策规则</w:t>
      </w:r>
    </w:p>
    <w:p w14:paraId="0FACF19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监事会的决策评估</w:t>
      </w:r>
    </w:p>
    <w:p w14:paraId="4901BCE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监事会的决策监督</w:t>
      </w:r>
    </w:p>
    <w:p w14:paraId="157B5457">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监事会的决策优化</w:t>
      </w:r>
    </w:p>
    <w:p w14:paraId="066CC960">
      <w:pPr>
        <w:adjustRightInd w:val="0"/>
        <w:snapToGrid w:val="0"/>
        <w:spacing w:line="480" w:lineRule="exact"/>
        <w:rPr>
          <w:rFonts w:ascii="宋体" w:hAnsi="宋体" w:cs="Arial"/>
          <w:b/>
          <w:bCs/>
          <w:color w:val="1F4E79"/>
          <w:kern w:val="0"/>
          <w:sz w:val="24"/>
          <w:szCs w:val="24"/>
        </w:rPr>
      </w:pPr>
    </w:p>
    <w:p w14:paraId="3CB0AF0F">
      <w:pPr>
        <w:adjustRightInd w:val="0"/>
        <w:snapToGrid w:val="0"/>
        <w:spacing w:line="480" w:lineRule="exact"/>
        <w:rPr>
          <w:rFonts w:ascii="宋体" w:hAnsi="宋体" w:cs="Arial"/>
          <w:b/>
          <w:bCs/>
          <w:color w:val="1F4E79"/>
          <w:kern w:val="0"/>
          <w:sz w:val="24"/>
          <w:szCs w:val="24"/>
        </w:rPr>
      </w:pPr>
      <w:r>
        <w:rPr>
          <w:rFonts w:ascii="宋体" w:hAnsi="宋体" w:cs="Arial"/>
          <w:b/>
          <w:bCs/>
          <w:color w:val="1F4E79"/>
          <w:kern w:val="0"/>
          <w:sz w:val="24"/>
          <w:szCs w:val="24"/>
        </w:rPr>
        <w:t>第五</w:t>
      </w:r>
      <w:r>
        <w:rPr>
          <w:rFonts w:hint="eastAsia" w:ascii="宋体" w:hAnsi="宋体" w:cs="Arial"/>
          <w:b/>
          <w:bCs/>
          <w:color w:val="1F4E79"/>
          <w:kern w:val="0"/>
          <w:sz w:val="24"/>
          <w:szCs w:val="24"/>
        </w:rPr>
        <w:t>讲</w:t>
      </w:r>
      <w:r>
        <w:rPr>
          <w:rFonts w:ascii="宋体" w:hAnsi="宋体" w:cs="Arial"/>
          <w:b/>
          <w:bCs/>
          <w:color w:val="1F4E79"/>
          <w:kern w:val="0"/>
          <w:sz w:val="24"/>
          <w:szCs w:val="24"/>
        </w:rPr>
        <w:t>：国有企业经理层治理</w:t>
      </w:r>
    </w:p>
    <w:p w14:paraId="50D1A739">
      <w:pPr>
        <w:tabs>
          <w:tab w:val="left" w:pos="720"/>
        </w:tabs>
        <w:spacing w:line="480" w:lineRule="exact"/>
        <w:rPr>
          <w:rFonts w:ascii="宋体" w:hAnsi="宋体"/>
          <w:bCs/>
          <w:sz w:val="24"/>
          <w:szCs w:val="24"/>
        </w:rPr>
      </w:pPr>
      <w:r>
        <w:rPr>
          <w:rFonts w:ascii="宋体" w:hAnsi="宋体"/>
          <w:b/>
          <w:sz w:val="24"/>
          <w:szCs w:val="24"/>
        </w:rPr>
        <w:t>案例</w:t>
      </w:r>
      <w:r>
        <w:rPr>
          <w:rFonts w:ascii="宋体" w:hAnsi="宋体"/>
          <w:bCs/>
          <w:sz w:val="24"/>
          <w:szCs w:val="24"/>
        </w:rPr>
        <w:t>：中国移动经理层治理优化实践</w:t>
      </w:r>
    </w:p>
    <w:p w14:paraId="17F67125">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一、公司董事会与经营层的履职关系</w:t>
      </w:r>
    </w:p>
    <w:p w14:paraId="3C237C0F">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 公司董事、高管的任命程序</w:t>
      </w:r>
    </w:p>
    <w:p w14:paraId="0AF2CA7B">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董事长与总裁的职责描述</w:t>
      </w:r>
    </w:p>
    <w:p w14:paraId="14623D8C">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 董事会和总裁的责权划分</w:t>
      </w:r>
    </w:p>
    <w:p w14:paraId="32FDAC39">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二、</w:t>
      </w:r>
      <w:r>
        <w:rPr>
          <w:rFonts w:ascii="宋体" w:hAnsi="宋体"/>
          <w:b/>
          <w:bCs/>
          <w:color w:val="C45911"/>
          <w:sz w:val="24"/>
          <w:szCs w:val="24"/>
        </w:rPr>
        <w:t>国有企业经理层的职能与作用</w:t>
      </w:r>
    </w:p>
    <w:p w14:paraId="3079313F">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经理层的定义与职能</w:t>
      </w:r>
    </w:p>
    <w:p w14:paraId="3DC20FBD">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经理层的组成与结构</w:t>
      </w:r>
    </w:p>
    <w:p w14:paraId="07C841DA">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经理层的决策机制</w:t>
      </w:r>
    </w:p>
    <w:p w14:paraId="7EF643F9">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经理层的监督机制</w:t>
      </w:r>
    </w:p>
    <w:p w14:paraId="455DF9C5">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经理层的激励机制</w:t>
      </w:r>
    </w:p>
    <w:p w14:paraId="4E1FFF7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经理层的评估机制</w:t>
      </w:r>
    </w:p>
    <w:p w14:paraId="621D31ED">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三、</w:t>
      </w:r>
      <w:r>
        <w:rPr>
          <w:rFonts w:ascii="宋体" w:hAnsi="宋体"/>
          <w:b/>
          <w:bCs/>
          <w:color w:val="C45911"/>
          <w:sz w:val="24"/>
          <w:szCs w:val="24"/>
        </w:rPr>
        <w:t>国有企业经理层的决策机制</w:t>
      </w:r>
    </w:p>
    <w:p w14:paraId="5A619307">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经理层的决策流程</w:t>
      </w:r>
    </w:p>
    <w:p w14:paraId="4926F972">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经理层的决策规则</w:t>
      </w:r>
    </w:p>
    <w:p w14:paraId="496790E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经理层的决策评估</w:t>
      </w:r>
    </w:p>
    <w:p w14:paraId="22D0C5F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经理层的决策监督</w:t>
      </w:r>
    </w:p>
    <w:p w14:paraId="5BD8C3F8">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经理层的决策激励</w:t>
      </w:r>
    </w:p>
    <w:p w14:paraId="58314F6C">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经理层的决策优化</w:t>
      </w:r>
    </w:p>
    <w:p w14:paraId="27291684">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四、</w:t>
      </w:r>
      <w:r>
        <w:rPr>
          <w:rFonts w:ascii="宋体" w:hAnsi="宋体"/>
          <w:b/>
          <w:bCs/>
          <w:color w:val="C45911"/>
          <w:sz w:val="24"/>
          <w:szCs w:val="24"/>
        </w:rPr>
        <w:t>国有企业经理层的激励机制</w:t>
      </w:r>
    </w:p>
    <w:p w14:paraId="2943FB00">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经理层的激励职能</w:t>
      </w:r>
    </w:p>
    <w:p w14:paraId="7C6CE02E">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经理层的激励流程</w:t>
      </w:r>
    </w:p>
    <w:p w14:paraId="3D68D21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经理层的激励规则</w:t>
      </w:r>
    </w:p>
    <w:p w14:paraId="7A291AB3">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经理层的激励评估</w:t>
      </w:r>
    </w:p>
    <w:p w14:paraId="6DFA88D3">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经理层的激励监督</w:t>
      </w:r>
    </w:p>
    <w:p w14:paraId="57665E26">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经理层的激励优化</w:t>
      </w:r>
    </w:p>
    <w:p w14:paraId="1B60F017">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五、</w:t>
      </w:r>
      <w:r>
        <w:rPr>
          <w:rFonts w:ascii="宋体" w:hAnsi="宋体"/>
          <w:b/>
          <w:bCs/>
          <w:color w:val="C45911"/>
          <w:sz w:val="24"/>
          <w:szCs w:val="24"/>
        </w:rPr>
        <w:t>国有企业经理层的评估机制</w:t>
      </w:r>
    </w:p>
    <w:p w14:paraId="450F1382">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1. </w:t>
      </w:r>
      <w:r>
        <w:rPr>
          <w:rFonts w:ascii="宋体" w:hAnsi="宋体" w:cs="Arial"/>
          <w:color w:val="000000"/>
          <w:kern w:val="0"/>
          <w:sz w:val="24"/>
          <w:szCs w:val="24"/>
        </w:rPr>
        <w:t>经理层的评估职能</w:t>
      </w:r>
    </w:p>
    <w:p w14:paraId="0CC88F55">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2. </w:t>
      </w:r>
      <w:r>
        <w:rPr>
          <w:rFonts w:ascii="宋体" w:hAnsi="宋体" w:cs="Arial"/>
          <w:color w:val="000000"/>
          <w:kern w:val="0"/>
          <w:sz w:val="24"/>
          <w:szCs w:val="24"/>
        </w:rPr>
        <w:t>经理层的评估流程</w:t>
      </w:r>
    </w:p>
    <w:p w14:paraId="0AA07D8F">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3. </w:t>
      </w:r>
      <w:r>
        <w:rPr>
          <w:rFonts w:ascii="宋体" w:hAnsi="宋体" w:cs="Arial"/>
          <w:color w:val="000000"/>
          <w:kern w:val="0"/>
          <w:sz w:val="24"/>
          <w:szCs w:val="24"/>
        </w:rPr>
        <w:t>经理层的评估规则</w:t>
      </w:r>
    </w:p>
    <w:p w14:paraId="3F92CAB3">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4. </w:t>
      </w:r>
      <w:r>
        <w:rPr>
          <w:rFonts w:ascii="宋体" w:hAnsi="宋体" w:cs="Arial"/>
          <w:color w:val="000000"/>
          <w:kern w:val="0"/>
          <w:sz w:val="24"/>
          <w:szCs w:val="24"/>
        </w:rPr>
        <w:t>经理层的评估监督</w:t>
      </w:r>
    </w:p>
    <w:p w14:paraId="19143BFD">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5. </w:t>
      </w:r>
      <w:r>
        <w:rPr>
          <w:rFonts w:ascii="宋体" w:hAnsi="宋体" w:cs="Arial"/>
          <w:color w:val="000000"/>
          <w:kern w:val="0"/>
          <w:sz w:val="24"/>
          <w:szCs w:val="24"/>
        </w:rPr>
        <w:t>经理层的评估激励</w:t>
      </w:r>
    </w:p>
    <w:p w14:paraId="4BAC3784">
      <w:pPr>
        <w:widowControl/>
        <w:tabs>
          <w:tab w:val="left" w:pos="1440"/>
        </w:tabs>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 xml:space="preserve">6. </w:t>
      </w:r>
      <w:r>
        <w:rPr>
          <w:rFonts w:ascii="宋体" w:hAnsi="宋体" w:cs="Arial"/>
          <w:color w:val="000000"/>
          <w:kern w:val="0"/>
          <w:sz w:val="24"/>
          <w:szCs w:val="24"/>
        </w:rPr>
        <w:t>经理层的评估优化</w:t>
      </w:r>
    </w:p>
    <w:p w14:paraId="1DAB947A">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六、董监高的基本义务与责任</w:t>
      </w:r>
    </w:p>
    <w:p w14:paraId="0CDC1477">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 董事、监事、高管人员的任职资格</w:t>
      </w:r>
    </w:p>
    <w:p w14:paraId="1FE6038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董事、监事、高管人员的义务</w:t>
      </w:r>
    </w:p>
    <w:p w14:paraId="6A00DEA2">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3. 董事、监事、高管人员的责任</w:t>
      </w:r>
    </w:p>
    <w:p w14:paraId="4C2ADABF">
      <w:pPr>
        <w:widowControl/>
        <w:adjustRightInd w:val="0"/>
        <w:snapToGrid w:val="0"/>
        <w:spacing w:line="480" w:lineRule="exact"/>
        <w:rPr>
          <w:rFonts w:ascii="宋体" w:hAnsi="宋体" w:cs="Arial"/>
          <w:color w:val="000000"/>
          <w:kern w:val="0"/>
          <w:sz w:val="24"/>
          <w:szCs w:val="24"/>
        </w:rPr>
      </w:pPr>
      <w:r>
        <w:rPr>
          <w:rFonts w:ascii="宋体" w:hAnsi="宋体" w:cs="Arial"/>
          <w:color w:val="000000"/>
          <w:kern w:val="0"/>
          <w:sz w:val="24"/>
          <w:szCs w:val="24"/>
        </w:rPr>
        <w:t>1</w:t>
      </w:r>
      <w:r>
        <w:rPr>
          <w:rFonts w:hint="eastAsia" w:ascii="宋体" w:hAnsi="宋体" w:cs="Arial"/>
          <w:color w:val="000000"/>
          <w:kern w:val="0"/>
          <w:sz w:val="24"/>
          <w:szCs w:val="24"/>
        </w:rPr>
        <w:t>）行政责任</w:t>
      </w:r>
    </w:p>
    <w:p w14:paraId="54EEA196">
      <w:pPr>
        <w:widowControl/>
        <w:adjustRightInd w:val="0"/>
        <w:snapToGrid w:val="0"/>
        <w:spacing w:line="480" w:lineRule="exact"/>
        <w:rPr>
          <w:rFonts w:ascii="宋体" w:hAnsi="宋体" w:cs="Arial"/>
          <w:color w:val="000000"/>
          <w:kern w:val="0"/>
          <w:sz w:val="24"/>
          <w:szCs w:val="24"/>
        </w:rPr>
      </w:pPr>
      <w:r>
        <w:rPr>
          <w:rFonts w:hint="eastAsia" w:ascii="宋体" w:hAnsi="宋体" w:cs="Arial"/>
          <w:b/>
          <w:bCs/>
          <w:color w:val="000000"/>
          <w:kern w:val="0"/>
          <w:sz w:val="24"/>
          <w:szCs w:val="24"/>
        </w:rPr>
        <w:t>案例：</w:t>
      </w:r>
      <w:r>
        <w:rPr>
          <w:rFonts w:hint="eastAsia" w:ascii="宋体" w:hAnsi="宋体" w:cs="Arial"/>
          <w:color w:val="000000"/>
          <w:kern w:val="0"/>
          <w:sz w:val="24"/>
          <w:szCs w:val="24"/>
        </w:rPr>
        <w:t>华铁股份未能恪尽职守、ST银亿股份未能恪尽职守、ST佳电股份未能恪尽职守</w:t>
      </w:r>
    </w:p>
    <w:p w14:paraId="0F0C7AEC">
      <w:pPr>
        <w:widowControl/>
        <w:adjustRightInd w:val="0"/>
        <w:snapToGrid w:val="0"/>
        <w:spacing w:line="480" w:lineRule="exact"/>
        <w:rPr>
          <w:rFonts w:ascii="宋体" w:hAnsi="宋体" w:cs="Arial"/>
          <w:color w:val="000000"/>
          <w:kern w:val="0"/>
          <w:sz w:val="24"/>
          <w:szCs w:val="24"/>
        </w:rPr>
      </w:pPr>
      <w:r>
        <w:rPr>
          <w:rFonts w:ascii="宋体" w:hAnsi="宋体" w:cs="Arial"/>
          <w:color w:val="000000"/>
          <w:kern w:val="0"/>
          <w:sz w:val="24"/>
          <w:szCs w:val="24"/>
        </w:rPr>
        <w:t>2</w:t>
      </w:r>
      <w:r>
        <w:rPr>
          <w:rFonts w:hint="eastAsia" w:ascii="宋体" w:hAnsi="宋体" w:cs="Arial"/>
          <w:color w:val="000000"/>
          <w:kern w:val="0"/>
          <w:sz w:val="24"/>
          <w:szCs w:val="24"/>
        </w:rPr>
        <w:t>）民事责任</w:t>
      </w:r>
    </w:p>
    <w:p w14:paraId="23BA4BD0">
      <w:pPr>
        <w:widowControl/>
        <w:adjustRightInd w:val="0"/>
        <w:snapToGrid w:val="0"/>
        <w:spacing w:line="480" w:lineRule="exact"/>
        <w:rPr>
          <w:rFonts w:ascii="宋体" w:hAnsi="宋体" w:cs="Arial"/>
          <w:color w:val="000000"/>
          <w:kern w:val="0"/>
          <w:sz w:val="24"/>
          <w:szCs w:val="24"/>
        </w:rPr>
      </w:pPr>
      <w:r>
        <w:rPr>
          <w:rFonts w:hint="eastAsia" w:ascii="宋体" w:hAnsi="宋体" w:cs="Arial"/>
          <w:b/>
          <w:bCs/>
          <w:color w:val="000000"/>
          <w:kern w:val="0"/>
          <w:sz w:val="24"/>
          <w:szCs w:val="24"/>
        </w:rPr>
        <w:t>案例：</w:t>
      </w:r>
      <w:r>
        <w:rPr>
          <w:rFonts w:hint="eastAsia" w:ascii="宋体" w:hAnsi="宋体" w:cs="Arial"/>
          <w:color w:val="000000"/>
          <w:kern w:val="0"/>
          <w:sz w:val="24"/>
          <w:szCs w:val="24"/>
        </w:rPr>
        <w:t>祥源文化与龙薇传媒</w:t>
      </w:r>
    </w:p>
    <w:p w14:paraId="75C74D33">
      <w:pPr>
        <w:widowControl/>
        <w:adjustRightInd w:val="0"/>
        <w:snapToGrid w:val="0"/>
        <w:spacing w:line="480" w:lineRule="exact"/>
        <w:rPr>
          <w:rFonts w:ascii="宋体" w:hAnsi="宋体" w:cs="Arial"/>
          <w:color w:val="000000"/>
          <w:kern w:val="0"/>
          <w:sz w:val="24"/>
          <w:szCs w:val="24"/>
        </w:rPr>
      </w:pPr>
      <w:r>
        <w:rPr>
          <w:rFonts w:ascii="宋体" w:hAnsi="宋体" w:cs="Arial"/>
          <w:color w:val="000000"/>
          <w:kern w:val="0"/>
          <w:sz w:val="24"/>
          <w:szCs w:val="24"/>
        </w:rPr>
        <w:t>3</w:t>
      </w:r>
      <w:r>
        <w:rPr>
          <w:rFonts w:hint="eastAsia" w:ascii="宋体" w:hAnsi="宋体" w:cs="Arial"/>
          <w:color w:val="000000"/>
          <w:kern w:val="0"/>
          <w:sz w:val="24"/>
          <w:szCs w:val="24"/>
        </w:rPr>
        <w:t>）刑事责任</w:t>
      </w:r>
    </w:p>
    <w:p w14:paraId="1DD8B085">
      <w:pPr>
        <w:widowControl/>
        <w:adjustRightInd w:val="0"/>
        <w:snapToGrid w:val="0"/>
        <w:spacing w:line="480" w:lineRule="exact"/>
        <w:rPr>
          <w:rFonts w:ascii="宋体" w:hAnsi="宋体" w:cs="Arial"/>
          <w:color w:val="000000"/>
          <w:kern w:val="0"/>
          <w:sz w:val="24"/>
          <w:szCs w:val="24"/>
        </w:rPr>
      </w:pPr>
      <w:r>
        <w:rPr>
          <w:rFonts w:hint="eastAsia" w:ascii="宋体" w:hAnsi="宋体" w:cs="Arial"/>
          <w:b/>
          <w:bCs/>
          <w:color w:val="000000"/>
          <w:kern w:val="0"/>
          <w:sz w:val="24"/>
          <w:szCs w:val="24"/>
        </w:rPr>
        <w:t>案例：</w:t>
      </w:r>
      <w:r>
        <w:rPr>
          <w:rFonts w:hint="eastAsia" w:ascii="宋体" w:hAnsi="宋体" w:cs="Arial"/>
          <w:color w:val="000000"/>
          <w:kern w:val="0"/>
          <w:sz w:val="24"/>
          <w:szCs w:val="24"/>
        </w:rPr>
        <w:t>ST天宝股份虚开发票</w:t>
      </w:r>
    </w:p>
    <w:p w14:paraId="4FC1414E">
      <w:pPr>
        <w:adjustRightInd w:val="0"/>
        <w:snapToGrid w:val="0"/>
        <w:spacing w:line="480" w:lineRule="exact"/>
        <w:rPr>
          <w:rFonts w:ascii="宋体" w:hAnsi="宋体" w:cs="Arial"/>
          <w:b/>
          <w:bCs/>
          <w:color w:val="1F4E79"/>
          <w:kern w:val="0"/>
          <w:sz w:val="24"/>
          <w:szCs w:val="24"/>
        </w:rPr>
      </w:pPr>
    </w:p>
    <w:p w14:paraId="445214A0">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第六讲</w:t>
      </w:r>
      <w:r>
        <w:rPr>
          <w:rFonts w:ascii="宋体" w:hAnsi="宋体" w:cs="Arial"/>
          <w:b/>
          <w:bCs/>
          <w:color w:val="1F4E79"/>
          <w:kern w:val="0"/>
          <w:sz w:val="24"/>
          <w:szCs w:val="24"/>
        </w:rPr>
        <w:t>：新公司法与国有企业法人治理</w:t>
      </w:r>
    </w:p>
    <w:p w14:paraId="31F741CA">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一、新公司法修订历程与价值导向</w:t>
      </w:r>
    </w:p>
    <w:p w14:paraId="23B0464A">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 本次公司法修订历程</w:t>
      </w:r>
    </w:p>
    <w:p w14:paraId="37F23CFD">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2. 公司法修订价值导向概要</w:t>
      </w:r>
    </w:p>
    <w:p w14:paraId="4316F5DD">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1）既积极进去又表现慎重</w:t>
      </w:r>
    </w:p>
    <w:p w14:paraId="4C188293">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2）完善现代企业制度建设，尊重和鼓励公司理性自治</w:t>
      </w:r>
    </w:p>
    <w:p w14:paraId="0E80C56B">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3）健全资本市场基础性制度、促进资本市场健康发展</w:t>
      </w:r>
    </w:p>
    <w:p w14:paraId="0959A901">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4）强化控股股东、实际控制人与董监高人员的责任</w:t>
      </w:r>
    </w:p>
    <w:p w14:paraId="2D688E55">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5）激活公司争讼解决机制，提升公司法的可诉性</w:t>
      </w:r>
    </w:p>
    <w:p w14:paraId="1C12A8D4">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二、新公司法下公司资本制度的完善</w:t>
      </w:r>
    </w:p>
    <w:p w14:paraId="6EC54EE9">
      <w:pPr>
        <w:widowControl/>
        <w:tabs>
          <w:tab w:val="left" w:pos="720"/>
        </w:tabs>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1. 有限责任公司股东出资的重大变化</w:t>
      </w:r>
    </w:p>
    <w:p w14:paraId="0E8935FF">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1）出资方式更丰富</w:t>
      </w:r>
    </w:p>
    <w:p w14:paraId="65DFEE2D">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2）有限公司的认缴制</w:t>
      </w:r>
    </w:p>
    <w:p w14:paraId="2B940D6C">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3）出资义务加速到期制度</w:t>
      </w:r>
    </w:p>
    <w:p w14:paraId="0C202E06">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4）催缴失权制度</w:t>
      </w:r>
    </w:p>
    <w:p w14:paraId="074C9A3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5）疵瑕股权及连带责任</w:t>
      </w:r>
    </w:p>
    <w:p w14:paraId="4BB1060D">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2. 原则禁止财务资助</w:t>
      </w:r>
    </w:p>
    <w:p w14:paraId="142999CA">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1）新增股份有限公司不得为他人取得本公司或者其母公司的股份提供赠与、借款、担保以及其他财务资助</w:t>
      </w:r>
    </w:p>
    <w:p w14:paraId="01EC866A">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2）“原则禁止+例外允许”</w:t>
      </w:r>
    </w:p>
    <w:p w14:paraId="429106E1">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3. 完善利润分配制度</w:t>
      </w:r>
    </w:p>
    <w:p w14:paraId="789FF926">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1）允许公司使用法定公积和任意公积弥补亏损后，再使用资本公积弥补亏损</w:t>
      </w:r>
    </w:p>
    <w:p w14:paraId="058ED2B7">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2）将公司利润分配完成时间的最低限制从一年缩短为半年</w:t>
      </w:r>
    </w:p>
    <w:p w14:paraId="2A4AF601">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3）利润与亏损</w:t>
      </w:r>
    </w:p>
    <w:p w14:paraId="61B793B4">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4. 公司减资制度革新</w:t>
      </w:r>
    </w:p>
    <w:p w14:paraId="525D1325">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1）新增形式减资制度</w:t>
      </w:r>
    </w:p>
    <w:p w14:paraId="65F8201D">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2）明确不同比减资由法律规定、章程约定或经全体股东一致同意</w:t>
      </w:r>
    </w:p>
    <w:p w14:paraId="007680D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3）减资</w:t>
      </w:r>
      <w:r>
        <w:rPr>
          <w:rFonts w:hint="eastAsia" w:ascii="微软雅黑" w:hAnsi="微软雅黑" w:eastAsia="微软雅黑" w:cs="微软雅黑"/>
          <w:color w:val="000000"/>
          <w:kern w:val="0"/>
          <w:sz w:val="24"/>
          <w:szCs w:val="24"/>
        </w:rPr>
        <w:t>⽤</w:t>
      </w:r>
      <w:r>
        <w:rPr>
          <w:rFonts w:hint="eastAsia" w:ascii="宋体" w:hAnsi="宋体" w:cs="宋体"/>
          <w:color w:val="000000"/>
          <w:kern w:val="0"/>
          <w:sz w:val="24"/>
          <w:szCs w:val="24"/>
        </w:rPr>
        <w:t>于弥补亏损的简易程序</w:t>
      </w:r>
    </w:p>
    <w:p w14:paraId="58C376FA">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4）规定违法减资的法律后果</w:t>
      </w:r>
    </w:p>
    <w:p w14:paraId="618EF4E6">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三、新公司法下股东权利规则与义务的完善</w:t>
      </w:r>
    </w:p>
    <w:p w14:paraId="59CB98C2">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1. 强化股东知情权保障</w:t>
      </w:r>
    </w:p>
    <w:p w14:paraId="088570B8">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1）允许公司股东查阅公司会计账簿、会计凭证(第57条、第110条)</w:t>
      </w:r>
    </w:p>
    <w:p w14:paraId="28C7037E">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2）新增股东穿越查询子公司相关材料的权利(第57条、第110条)</w:t>
      </w:r>
    </w:p>
    <w:p w14:paraId="41C2C38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3）允许股东委托律所、会所等专业机构查阅公司相关材料(第57条、第110条）</w:t>
      </w:r>
    </w:p>
    <w:p w14:paraId="1DFD6CB1">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新增股东双重代表诉讼(第189条)</w:t>
      </w:r>
    </w:p>
    <w:p w14:paraId="258B0A46">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 新增横向法人人格否认制度(第23条)</w:t>
      </w:r>
    </w:p>
    <w:p w14:paraId="04E79298">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4. 完善异议股东回购请求权</w:t>
      </w:r>
    </w:p>
    <w:p w14:paraId="6A43CE1F">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1）在有限责任公司将控股股东滥用权利损害公司或股东利益作为新的回购情形(第89条)</w:t>
      </w:r>
    </w:p>
    <w:p w14:paraId="7501C8C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2）将2018年公司法中适用于有限责任公司的股东回购请求权引入股份有限公司(第161条)</w:t>
      </w:r>
    </w:p>
    <w:p w14:paraId="45F0C4D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 明确有限责任公司股权变动模式(第86条)</w:t>
      </w:r>
    </w:p>
    <w:p w14:paraId="29323C3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四、新公司法下法人治理机制的优化</w:t>
      </w:r>
    </w:p>
    <w:p w14:paraId="01ECCDA2">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1. 公司组织机构设置调整</w:t>
      </w:r>
    </w:p>
    <w:p w14:paraId="736F90C4">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1）有限责任公司组织机构设置的主要变化</w:t>
      </w:r>
    </w:p>
    <w:p w14:paraId="0720305C">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2. 充实法定代表人制度</w:t>
      </w:r>
    </w:p>
    <w:p w14:paraId="436F1246">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1）扩大了法定代表人选任范围，包括所有代表公司执行事务的董事或经理第10条)</w:t>
      </w:r>
    </w:p>
    <w:p w14:paraId="43419D2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2）明确了法定代表人的变更规则，登记并非生效要件(第10条、第35条)</w:t>
      </w:r>
    </w:p>
    <w:p w14:paraId="63D907C4">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3. 完善国家出资公司组织机构规则</w:t>
      </w:r>
    </w:p>
    <w:p w14:paraId="7238543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1）适用范围扩大，由国有独资公司扩大至国有独资公司和国有资本控股公司(第168条)</w:t>
      </w:r>
    </w:p>
    <w:p w14:paraId="262EE6DB">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2）明确国家出资公司中党的领导(第170条)</w:t>
      </w:r>
    </w:p>
    <w:p w14:paraId="35271FF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3）国有独资公司不设股东会(第172条)，不设监事会、设审计委员会(第176条)</w:t>
      </w:r>
    </w:p>
    <w:p w14:paraId="328F7F8B">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4）要求国家出资公司建立健全内部监督管理和风险控制制度(第177条)</w:t>
      </w:r>
    </w:p>
    <w:p w14:paraId="2DED757B">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4. 公司决议制度</w:t>
      </w:r>
    </w:p>
    <w:p w14:paraId="26F07AE4">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1）完善决议撤销之诉除斥期间起算规则和期限规则(第26条)</w:t>
      </w:r>
    </w:p>
    <w:p w14:paraId="7F159CB3">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2）在现行公司法关于决议无效与决议可撤销的效力分类上，新增决议不成立规则(第27条)</w:t>
      </w:r>
    </w:p>
    <w:p w14:paraId="76E0913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五、新公司法下股东权利规则与义务的完善</w:t>
      </w:r>
    </w:p>
    <w:p w14:paraId="4FAF7387">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1. 引入事实董事和影子董事制度</w:t>
      </w:r>
    </w:p>
    <w:p w14:paraId="40085181">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1）新增事实董事制度(第180条)</w:t>
      </w:r>
    </w:p>
    <w:p w14:paraId="4ADB2D2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2）新增影子董事、影子高管制度(第192条)</w:t>
      </w:r>
    </w:p>
    <w:p w14:paraId="21D9C907">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 充实董监高人员的忠实义务和勤勉义务(第180条)</w:t>
      </w:r>
    </w:p>
    <w:p w14:paraId="5C3D8192">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3. 加强对关联交易的规范</w:t>
      </w:r>
    </w:p>
    <w:p w14:paraId="448A5334">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1）扩大关联方的范围(第182条)</w:t>
      </w:r>
    </w:p>
    <w:p w14:paraId="34BBC836">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2）增加关联交易报告义务(第182条)和回避表决规则(第185条)</w:t>
      </w:r>
    </w:p>
    <w:p w14:paraId="4DB4B56A">
      <w:pPr>
        <w:widowControl/>
        <w:adjustRightInd w:val="0"/>
        <w:snapToGrid w:val="0"/>
        <w:spacing w:line="480" w:lineRule="exact"/>
        <w:rPr>
          <w:rFonts w:ascii="宋体" w:hAnsi="宋体" w:cs="Arial"/>
          <w:b/>
          <w:bCs/>
          <w:color w:val="000000"/>
          <w:kern w:val="0"/>
          <w:sz w:val="24"/>
          <w:szCs w:val="24"/>
        </w:rPr>
      </w:pPr>
      <w:r>
        <w:rPr>
          <w:rFonts w:hint="eastAsia" w:ascii="宋体" w:hAnsi="宋体" w:cs="Arial"/>
          <w:b/>
          <w:bCs/>
          <w:color w:val="000000"/>
          <w:kern w:val="0"/>
          <w:sz w:val="24"/>
          <w:szCs w:val="24"/>
        </w:rPr>
        <w:t>4. 强化董监高人员维护公司资本充实的责任</w:t>
      </w:r>
    </w:p>
    <w:p w14:paraId="267C822C">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1）董事向欠缴出资的股东催缴出资义务与相应责任(第51条)</w:t>
      </w:r>
    </w:p>
    <w:p w14:paraId="1E183B59">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2）抽逃出资时的董监高责任(第53条)</w:t>
      </w:r>
    </w:p>
    <w:p w14:paraId="5271000A">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3）违法财务资助时的董监高责任(第163条)</w:t>
      </w:r>
    </w:p>
    <w:p w14:paraId="0C6B7A9B">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4）违法分配利润时的董监高责任(第211条)</w:t>
      </w:r>
    </w:p>
    <w:p w14:paraId="0B75956C">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5）违法减资时的董监高责任(第226条)</w:t>
      </w:r>
    </w:p>
    <w:p w14:paraId="75B19604">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5. 增加董事对第三人责任</w:t>
      </w:r>
    </w:p>
    <w:p w14:paraId="019349F0">
      <w:pPr>
        <w:widowControl/>
        <w:adjustRightInd w:val="0"/>
        <w:snapToGrid w:val="0"/>
        <w:spacing w:line="480" w:lineRule="exact"/>
        <w:rPr>
          <w:rFonts w:ascii="宋体" w:hAnsi="宋体" w:cs="Arial"/>
          <w:color w:val="000000"/>
          <w:kern w:val="0"/>
          <w:sz w:val="24"/>
          <w:szCs w:val="24"/>
        </w:rPr>
      </w:pPr>
      <w:r>
        <w:rPr>
          <w:rFonts w:hint="eastAsia" w:ascii="宋体" w:hAnsi="宋体" w:cs="Arial"/>
          <w:color w:val="000000"/>
          <w:kern w:val="0"/>
          <w:sz w:val="24"/>
          <w:szCs w:val="24"/>
        </w:rPr>
        <w:t>6. 新增董事责任保险条款</w:t>
      </w:r>
    </w:p>
    <w:p w14:paraId="4C974C60">
      <w:pPr>
        <w:adjustRightInd w:val="0"/>
        <w:snapToGrid w:val="0"/>
        <w:spacing w:line="480" w:lineRule="exact"/>
        <w:rPr>
          <w:rFonts w:ascii="宋体" w:hAnsi="宋体" w:cs="Arial"/>
          <w:b/>
          <w:bCs/>
          <w:color w:val="1F4E79"/>
          <w:kern w:val="0"/>
          <w:sz w:val="24"/>
          <w:szCs w:val="24"/>
        </w:rPr>
      </w:pPr>
    </w:p>
    <w:p w14:paraId="42FFC91D">
      <w:pPr>
        <w:adjustRightInd w:val="0"/>
        <w:snapToGrid w:val="0"/>
        <w:spacing w:line="480" w:lineRule="exact"/>
        <w:rPr>
          <w:rFonts w:ascii="宋体" w:hAnsi="宋体" w:cs="Arial"/>
          <w:b/>
          <w:bCs/>
          <w:color w:val="1F4E79"/>
          <w:kern w:val="0"/>
          <w:sz w:val="24"/>
          <w:szCs w:val="24"/>
        </w:rPr>
      </w:pPr>
      <w:r>
        <w:rPr>
          <w:rFonts w:hint="eastAsia" w:ascii="宋体" w:hAnsi="宋体" w:cs="Arial"/>
          <w:b/>
          <w:bCs/>
          <w:color w:val="1F4E79"/>
          <w:kern w:val="0"/>
          <w:sz w:val="24"/>
          <w:szCs w:val="24"/>
        </w:rPr>
        <w:t>第七讲：</w:t>
      </w:r>
      <w:r>
        <w:rPr>
          <w:rFonts w:ascii="宋体" w:hAnsi="宋体" w:cs="Arial"/>
          <w:b/>
          <w:bCs/>
          <w:color w:val="1F4E79"/>
          <w:kern w:val="0"/>
          <w:sz w:val="24"/>
          <w:szCs w:val="24"/>
        </w:rPr>
        <w:t>AI+赋能</w:t>
      </w:r>
      <w:r>
        <w:rPr>
          <w:rFonts w:hint="eastAsia" w:ascii="宋体" w:hAnsi="宋体" w:cs="Arial"/>
          <w:b/>
          <w:bCs/>
          <w:color w:val="1F4E79"/>
          <w:kern w:val="0"/>
          <w:sz w:val="24"/>
          <w:szCs w:val="24"/>
        </w:rPr>
        <w:t>国有企业</w:t>
      </w:r>
      <w:r>
        <w:rPr>
          <w:rFonts w:ascii="宋体" w:hAnsi="宋体" w:cs="Arial"/>
          <w:b/>
          <w:bCs/>
          <w:color w:val="1F4E79"/>
          <w:kern w:val="0"/>
          <w:sz w:val="24"/>
          <w:szCs w:val="24"/>
        </w:rPr>
        <w:t>企业法人治理</w:t>
      </w:r>
      <w:r>
        <w:rPr>
          <w:rFonts w:hint="eastAsia" w:ascii="宋体" w:hAnsi="宋体" w:cs="Arial"/>
          <w:b/>
          <w:bCs/>
          <w:color w:val="1F4E79"/>
          <w:kern w:val="0"/>
          <w:sz w:val="24"/>
          <w:szCs w:val="24"/>
        </w:rPr>
        <w:t>创新</w:t>
      </w:r>
    </w:p>
    <w:p w14:paraId="7DB0541E">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一、</w:t>
      </w:r>
      <w:r>
        <w:rPr>
          <w:rFonts w:ascii="宋体" w:hAnsi="宋体"/>
          <w:b/>
          <w:bCs/>
          <w:color w:val="C45911"/>
          <w:sz w:val="24"/>
          <w:szCs w:val="24"/>
        </w:rPr>
        <w:t>全球AI发展"三浪叠加"规律</w:t>
      </w:r>
    </w:p>
    <w:p w14:paraId="619040A2">
      <w:pPr>
        <w:tabs>
          <w:tab w:val="left" w:pos="1440"/>
        </w:tabs>
        <w:spacing w:line="480" w:lineRule="exact"/>
        <w:rPr>
          <w:rFonts w:ascii="宋体" w:hAnsi="宋体"/>
          <w:bCs/>
          <w:sz w:val="24"/>
          <w:szCs w:val="24"/>
        </w:rPr>
      </w:pPr>
      <w:r>
        <w:rPr>
          <w:rFonts w:hint="eastAsia" w:ascii="宋体" w:hAnsi="宋体"/>
          <w:bCs/>
          <w:sz w:val="24"/>
          <w:szCs w:val="24"/>
        </w:rPr>
        <w:t>1. 为啥我要去学</w:t>
      </w:r>
      <w:r>
        <w:rPr>
          <w:rFonts w:ascii="宋体" w:hAnsi="宋体"/>
          <w:bCs/>
          <w:sz w:val="24"/>
          <w:szCs w:val="24"/>
        </w:rPr>
        <w:t>Al</w:t>
      </w:r>
    </w:p>
    <w:p w14:paraId="7EAA31D7">
      <w:pPr>
        <w:tabs>
          <w:tab w:val="left" w:pos="1440"/>
        </w:tabs>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Al</w:t>
      </w:r>
      <w:r>
        <w:rPr>
          <w:rFonts w:hint="eastAsia" w:ascii="宋体" w:hAnsi="宋体"/>
          <w:bCs/>
          <w:sz w:val="24"/>
          <w:szCs w:val="24"/>
        </w:rPr>
        <w:t>大语言模型的优势</w:t>
      </w:r>
    </w:p>
    <w:p w14:paraId="51B2664C">
      <w:pPr>
        <w:tabs>
          <w:tab w:val="left" w:pos="1440"/>
        </w:tabs>
        <w:spacing w:line="480" w:lineRule="exact"/>
        <w:rPr>
          <w:rFonts w:ascii="宋体" w:hAnsi="宋体"/>
          <w:b/>
          <w:sz w:val="24"/>
          <w:szCs w:val="24"/>
        </w:rPr>
      </w:pPr>
      <w:r>
        <w:rPr>
          <w:rFonts w:hint="eastAsia" w:ascii="宋体" w:hAnsi="宋体"/>
          <w:b/>
          <w:sz w:val="24"/>
          <w:szCs w:val="24"/>
        </w:rPr>
        <w:t>3. 认识</w:t>
      </w:r>
      <w:r>
        <w:rPr>
          <w:rFonts w:ascii="宋体" w:hAnsi="宋体"/>
          <w:b/>
          <w:sz w:val="24"/>
          <w:szCs w:val="24"/>
        </w:rPr>
        <w:t>Al</w:t>
      </w:r>
      <w:r>
        <w:rPr>
          <w:rFonts w:hint="eastAsia" w:ascii="宋体" w:hAnsi="宋体"/>
          <w:b/>
          <w:sz w:val="24"/>
          <w:szCs w:val="24"/>
        </w:rPr>
        <w:t>大语言模型</w:t>
      </w:r>
    </w:p>
    <w:p w14:paraId="369D35C9">
      <w:pPr>
        <w:tabs>
          <w:tab w:val="left" w:pos="1440"/>
        </w:tabs>
        <w:spacing w:line="480" w:lineRule="exact"/>
        <w:rPr>
          <w:rFonts w:ascii="宋体" w:hAnsi="宋体"/>
          <w:bCs/>
          <w:sz w:val="24"/>
          <w:szCs w:val="24"/>
        </w:rPr>
      </w:pPr>
      <w:r>
        <w:rPr>
          <w:rFonts w:hint="eastAsia" w:ascii="宋体" w:hAnsi="宋体"/>
          <w:bCs/>
          <w:sz w:val="24"/>
          <w:szCs w:val="24"/>
        </w:rPr>
        <w:t>1）什么是</w:t>
      </w:r>
      <w:r>
        <w:rPr>
          <w:rFonts w:ascii="宋体" w:hAnsi="宋体"/>
          <w:bCs/>
          <w:sz w:val="24"/>
          <w:szCs w:val="24"/>
        </w:rPr>
        <w:t>DEEPSEEK</w:t>
      </w:r>
    </w:p>
    <w:p w14:paraId="2617D616">
      <w:pPr>
        <w:tabs>
          <w:tab w:val="left" w:pos="1440"/>
        </w:tabs>
        <w:spacing w:line="480" w:lineRule="exact"/>
        <w:rPr>
          <w:rFonts w:ascii="宋体" w:hAnsi="宋体"/>
          <w:bCs/>
          <w:sz w:val="24"/>
          <w:szCs w:val="24"/>
        </w:rPr>
      </w:pPr>
      <w:r>
        <w:rPr>
          <w:rFonts w:hint="eastAsia" w:ascii="宋体" w:hAnsi="宋体"/>
          <w:bCs/>
          <w:sz w:val="24"/>
          <w:szCs w:val="24"/>
        </w:rPr>
        <w:t>2）</w:t>
      </w:r>
      <w:r>
        <w:rPr>
          <w:rFonts w:ascii="宋体" w:hAnsi="宋体"/>
          <w:bCs/>
          <w:sz w:val="24"/>
          <w:szCs w:val="24"/>
        </w:rPr>
        <w:t>DEEPSEEK</w:t>
      </w:r>
      <w:r>
        <w:rPr>
          <w:rFonts w:hint="eastAsia" w:ascii="宋体" w:hAnsi="宋体"/>
          <w:bCs/>
          <w:sz w:val="24"/>
          <w:szCs w:val="24"/>
        </w:rPr>
        <w:t>与其他大语言模型对比</w:t>
      </w:r>
    </w:p>
    <w:p w14:paraId="64FCADD9">
      <w:pPr>
        <w:tabs>
          <w:tab w:val="left" w:pos="1440"/>
        </w:tabs>
        <w:spacing w:line="480" w:lineRule="exact"/>
        <w:rPr>
          <w:rFonts w:ascii="宋体" w:hAnsi="宋体"/>
          <w:bCs/>
          <w:sz w:val="24"/>
          <w:szCs w:val="24"/>
        </w:rPr>
      </w:pPr>
      <w:r>
        <w:rPr>
          <w:rFonts w:hint="eastAsia" w:ascii="宋体" w:hAnsi="宋体"/>
          <w:bCs/>
          <w:sz w:val="24"/>
          <w:szCs w:val="24"/>
        </w:rPr>
        <w:t>3）常用的</w:t>
      </w:r>
      <w:r>
        <w:rPr>
          <w:rFonts w:ascii="宋体" w:hAnsi="宋体"/>
          <w:bCs/>
          <w:sz w:val="24"/>
          <w:szCs w:val="24"/>
        </w:rPr>
        <w:t>Al</w:t>
      </w:r>
      <w:r>
        <w:rPr>
          <w:rFonts w:hint="eastAsia" w:ascii="宋体" w:hAnsi="宋体"/>
          <w:bCs/>
          <w:sz w:val="24"/>
          <w:szCs w:val="24"/>
        </w:rPr>
        <w:t>工具</w:t>
      </w:r>
    </w:p>
    <w:p w14:paraId="63CF7A3B">
      <w:pPr>
        <w:tabs>
          <w:tab w:val="left" w:pos="1440"/>
        </w:tabs>
        <w:spacing w:line="480" w:lineRule="exact"/>
        <w:rPr>
          <w:rFonts w:hint="eastAsia" w:ascii="宋体" w:hAnsi="宋体"/>
          <w:b/>
          <w:sz w:val="24"/>
          <w:szCs w:val="24"/>
        </w:rPr>
      </w:pPr>
      <w:r>
        <w:rPr>
          <w:rFonts w:hint="eastAsia" w:ascii="宋体" w:hAnsi="宋体"/>
          <w:b/>
          <w:sz w:val="24"/>
          <w:szCs w:val="24"/>
        </w:rPr>
        <w:t>4. 如何使用</w:t>
      </w:r>
      <w:r>
        <w:rPr>
          <w:rFonts w:ascii="宋体" w:hAnsi="宋体"/>
          <w:b/>
          <w:sz w:val="24"/>
          <w:szCs w:val="24"/>
        </w:rPr>
        <w:t>Al</w:t>
      </w:r>
      <w:r>
        <w:rPr>
          <w:rFonts w:hint="eastAsia" w:ascii="宋体" w:hAnsi="宋体"/>
          <w:b/>
          <w:sz w:val="24"/>
          <w:szCs w:val="24"/>
        </w:rPr>
        <w:t>工具</w:t>
      </w:r>
    </w:p>
    <w:p w14:paraId="3413337B">
      <w:pPr>
        <w:tabs>
          <w:tab w:val="left" w:pos="1440"/>
        </w:tabs>
        <w:spacing w:line="480" w:lineRule="exact"/>
        <w:rPr>
          <w:rFonts w:ascii="宋体" w:hAnsi="宋体"/>
          <w:bCs/>
          <w:sz w:val="24"/>
          <w:szCs w:val="24"/>
        </w:rPr>
      </w:pPr>
      <w:r>
        <w:rPr>
          <w:rFonts w:hint="eastAsia" w:ascii="宋体" w:hAnsi="宋体"/>
          <w:bCs/>
          <w:sz w:val="24"/>
          <w:szCs w:val="24"/>
        </w:rPr>
        <w:t>1）课程开发</w:t>
      </w:r>
    </w:p>
    <w:p w14:paraId="22EA3710">
      <w:pPr>
        <w:tabs>
          <w:tab w:val="left" w:pos="1440"/>
        </w:tabs>
        <w:spacing w:line="480" w:lineRule="exact"/>
        <w:rPr>
          <w:rFonts w:ascii="宋体" w:hAnsi="宋体"/>
          <w:bCs/>
          <w:sz w:val="24"/>
          <w:szCs w:val="24"/>
        </w:rPr>
      </w:pPr>
      <w:r>
        <w:rPr>
          <w:rFonts w:hint="eastAsia" w:ascii="宋体" w:hAnsi="宋体"/>
          <w:bCs/>
          <w:sz w:val="24"/>
          <w:szCs w:val="24"/>
        </w:rPr>
        <w:t>2）</w:t>
      </w:r>
      <w:r>
        <w:rPr>
          <w:rFonts w:ascii="宋体" w:hAnsi="宋体"/>
          <w:bCs/>
          <w:sz w:val="24"/>
          <w:szCs w:val="24"/>
        </w:rPr>
        <w:t>PPT</w:t>
      </w:r>
      <w:r>
        <w:rPr>
          <w:rFonts w:hint="eastAsia" w:ascii="宋体" w:hAnsi="宋体"/>
          <w:bCs/>
          <w:sz w:val="24"/>
          <w:szCs w:val="24"/>
        </w:rPr>
        <w:t>底稿</w:t>
      </w:r>
    </w:p>
    <w:p w14:paraId="6EB80306">
      <w:pPr>
        <w:tabs>
          <w:tab w:val="left" w:pos="1440"/>
        </w:tabs>
        <w:spacing w:line="480" w:lineRule="exact"/>
        <w:rPr>
          <w:rFonts w:ascii="宋体" w:hAnsi="宋体"/>
          <w:bCs/>
          <w:sz w:val="24"/>
          <w:szCs w:val="24"/>
        </w:rPr>
      </w:pPr>
      <w:r>
        <w:rPr>
          <w:rFonts w:hint="eastAsia" w:ascii="宋体" w:hAnsi="宋体"/>
          <w:bCs/>
          <w:sz w:val="24"/>
          <w:szCs w:val="24"/>
        </w:rPr>
        <w:t>3）绘制框架图／结构图／流程图</w:t>
      </w:r>
    </w:p>
    <w:p w14:paraId="05D972AE">
      <w:pPr>
        <w:tabs>
          <w:tab w:val="left" w:pos="1440"/>
        </w:tabs>
        <w:spacing w:line="480" w:lineRule="exact"/>
        <w:rPr>
          <w:rFonts w:ascii="宋体" w:hAnsi="宋体"/>
          <w:bCs/>
          <w:sz w:val="24"/>
          <w:szCs w:val="24"/>
        </w:rPr>
      </w:pPr>
      <w:r>
        <w:rPr>
          <w:rFonts w:hint="eastAsia" w:ascii="宋体" w:hAnsi="宋体"/>
          <w:bCs/>
          <w:sz w:val="24"/>
          <w:szCs w:val="24"/>
        </w:rPr>
        <w:t>4）搭建智能体</w:t>
      </w:r>
    </w:p>
    <w:p w14:paraId="2616BB10">
      <w:pPr>
        <w:tabs>
          <w:tab w:val="left" w:pos="1440"/>
        </w:tabs>
        <w:spacing w:line="480" w:lineRule="exact"/>
        <w:rPr>
          <w:rFonts w:ascii="宋体" w:hAnsi="宋体"/>
          <w:bCs/>
          <w:sz w:val="24"/>
          <w:szCs w:val="24"/>
        </w:rPr>
      </w:pPr>
      <w:r>
        <w:rPr>
          <w:rFonts w:hint="eastAsia" w:ascii="宋体" w:hAnsi="宋体"/>
          <w:bCs/>
          <w:sz w:val="24"/>
          <w:szCs w:val="24"/>
        </w:rPr>
        <w:t>5）录制数字人</w:t>
      </w:r>
    </w:p>
    <w:p w14:paraId="033A8428">
      <w:pPr>
        <w:tabs>
          <w:tab w:val="left" w:pos="1440"/>
        </w:tabs>
        <w:spacing w:line="480" w:lineRule="exact"/>
        <w:rPr>
          <w:rFonts w:ascii="宋体" w:hAnsi="宋体"/>
          <w:b/>
          <w:sz w:val="24"/>
          <w:szCs w:val="24"/>
        </w:rPr>
      </w:pPr>
      <w:r>
        <w:rPr>
          <w:rFonts w:hint="eastAsia" w:ascii="宋体" w:hAnsi="宋体"/>
          <w:b/>
          <w:sz w:val="24"/>
          <w:szCs w:val="24"/>
        </w:rPr>
        <w:t xml:space="preserve">5. </w:t>
      </w:r>
      <w:r>
        <w:rPr>
          <w:rFonts w:ascii="宋体" w:hAnsi="宋体"/>
          <w:b/>
          <w:sz w:val="24"/>
          <w:szCs w:val="24"/>
        </w:rPr>
        <w:t>Al</w:t>
      </w:r>
      <w:r>
        <w:rPr>
          <w:rFonts w:hint="eastAsia" w:ascii="宋体" w:hAnsi="宋体"/>
          <w:b/>
          <w:sz w:val="24"/>
          <w:szCs w:val="24"/>
        </w:rPr>
        <w:t>提示词的编写方法</w:t>
      </w:r>
    </w:p>
    <w:p w14:paraId="144CB138">
      <w:pPr>
        <w:tabs>
          <w:tab w:val="left" w:pos="1440"/>
        </w:tabs>
        <w:spacing w:line="480" w:lineRule="exact"/>
        <w:rPr>
          <w:rFonts w:ascii="宋体" w:hAnsi="宋体"/>
          <w:bCs/>
          <w:sz w:val="24"/>
          <w:szCs w:val="24"/>
        </w:rPr>
      </w:pPr>
      <w:r>
        <w:rPr>
          <w:rFonts w:hint="eastAsia" w:ascii="宋体" w:hAnsi="宋体"/>
          <w:bCs/>
          <w:sz w:val="24"/>
          <w:szCs w:val="24"/>
        </w:rPr>
        <w:t>1）完整提示词的编写－</w:t>
      </w:r>
      <w:r>
        <w:rPr>
          <w:rFonts w:ascii="宋体" w:hAnsi="宋体"/>
          <w:bCs/>
          <w:sz w:val="24"/>
          <w:szCs w:val="24"/>
        </w:rPr>
        <w:t>ABCD</w:t>
      </w:r>
      <w:r>
        <w:rPr>
          <w:rFonts w:hint="eastAsia" w:ascii="宋体" w:hAnsi="宋体"/>
          <w:bCs/>
          <w:sz w:val="24"/>
          <w:szCs w:val="24"/>
        </w:rPr>
        <w:t>法则</w:t>
      </w:r>
    </w:p>
    <w:p w14:paraId="22C03425">
      <w:pPr>
        <w:tabs>
          <w:tab w:val="left" w:pos="1440"/>
        </w:tabs>
        <w:spacing w:line="480" w:lineRule="exact"/>
        <w:rPr>
          <w:rFonts w:ascii="宋体" w:hAnsi="宋体"/>
          <w:bCs/>
          <w:sz w:val="24"/>
          <w:szCs w:val="24"/>
        </w:rPr>
      </w:pPr>
      <w:r>
        <w:rPr>
          <w:rFonts w:hint="eastAsia" w:ascii="宋体" w:hAnsi="宋体"/>
          <w:bCs/>
          <w:sz w:val="24"/>
          <w:szCs w:val="24"/>
        </w:rPr>
        <w:t>2）追问的技巧</w:t>
      </w:r>
    </w:p>
    <w:p w14:paraId="645E945E">
      <w:pPr>
        <w:tabs>
          <w:tab w:val="left" w:pos="1440"/>
        </w:tabs>
        <w:spacing w:line="480" w:lineRule="exact"/>
        <w:rPr>
          <w:rFonts w:hint="eastAsia" w:ascii="宋体" w:hAnsi="宋体"/>
          <w:bCs/>
          <w:sz w:val="24"/>
          <w:szCs w:val="24"/>
        </w:rPr>
      </w:pPr>
      <w:r>
        <w:rPr>
          <w:rFonts w:hint="eastAsia" w:ascii="宋体" w:hAnsi="宋体"/>
          <w:bCs/>
          <w:sz w:val="24"/>
          <w:szCs w:val="24"/>
        </w:rPr>
        <w:t>3）案例与练习</w:t>
      </w:r>
    </w:p>
    <w:p w14:paraId="609C4CD8">
      <w:pPr>
        <w:tabs>
          <w:tab w:val="left" w:pos="1440"/>
        </w:tabs>
        <w:spacing w:line="480" w:lineRule="exact"/>
        <w:rPr>
          <w:rFonts w:ascii="宋体" w:hAnsi="宋体"/>
          <w:b/>
          <w:sz w:val="24"/>
          <w:szCs w:val="24"/>
        </w:rPr>
      </w:pPr>
      <w:r>
        <w:rPr>
          <w:rFonts w:hint="eastAsia" w:ascii="宋体" w:hAnsi="宋体"/>
          <w:b/>
          <w:sz w:val="24"/>
          <w:szCs w:val="24"/>
        </w:rPr>
        <w:t xml:space="preserve">6. </w:t>
      </w:r>
      <w:r>
        <w:rPr>
          <w:rFonts w:ascii="宋体" w:hAnsi="宋体"/>
          <w:b/>
          <w:sz w:val="24"/>
          <w:szCs w:val="24"/>
        </w:rPr>
        <w:t>Al</w:t>
      </w:r>
      <w:r>
        <w:rPr>
          <w:rFonts w:hint="eastAsia" w:ascii="宋体" w:hAnsi="宋体"/>
          <w:b/>
          <w:sz w:val="24"/>
          <w:szCs w:val="24"/>
        </w:rPr>
        <w:t>辅助调研与访谈</w:t>
      </w:r>
    </w:p>
    <w:p w14:paraId="2EB73554">
      <w:pPr>
        <w:tabs>
          <w:tab w:val="left" w:pos="1440"/>
        </w:tabs>
        <w:spacing w:line="480" w:lineRule="exact"/>
        <w:rPr>
          <w:rFonts w:ascii="宋体" w:hAnsi="宋体"/>
          <w:bCs/>
          <w:sz w:val="24"/>
          <w:szCs w:val="24"/>
        </w:rPr>
      </w:pPr>
      <w:r>
        <w:rPr>
          <w:rFonts w:hint="eastAsia" w:ascii="宋体" w:hAnsi="宋体"/>
          <w:bCs/>
          <w:sz w:val="24"/>
          <w:szCs w:val="24"/>
        </w:rPr>
        <w:t>1）A</w:t>
      </w:r>
      <w:r>
        <w:rPr>
          <w:rFonts w:ascii="宋体" w:hAnsi="宋体"/>
          <w:bCs/>
          <w:sz w:val="24"/>
          <w:szCs w:val="24"/>
        </w:rPr>
        <w:t>l</w:t>
      </w:r>
      <w:r>
        <w:rPr>
          <w:rFonts w:hint="eastAsia" w:ascii="宋体" w:hAnsi="宋体"/>
          <w:bCs/>
          <w:sz w:val="24"/>
          <w:szCs w:val="24"/>
        </w:rPr>
        <w:t>辅助调研</w:t>
      </w:r>
    </w:p>
    <w:p w14:paraId="35692899">
      <w:pPr>
        <w:tabs>
          <w:tab w:val="left" w:pos="1440"/>
        </w:tabs>
        <w:spacing w:line="480" w:lineRule="exact"/>
        <w:rPr>
          <w:rFonts w:ascii="宋体" w:hAnsi="宋体"/>
          <w:bCs/>
          <w:sz w:val="24"/>
          <w:szCs w:val="24"/>
        </w:rPr>
      </w:pPr>
      <w:r>
        <w:rPr>
          <w:rFonts w:hint="eastAsia" w:ascii="宋体" w:hAnsi="宋体"/>
          <w:bCs/>
          <w:sz w:val="24"/>
          <w:szCs w:val="24"/>
        </w:rPr>
        <w:t>2）用</w:t>
      </w:r>
      <w:r>
        <w:rPr>
          <w:rFonts w:ascii="宋体" w:hAnsi="宋体"/>
          <w:bCs/>
          <w:sz w:val="24"/>
          <w:szCs w:val="24"/>
        </w:rPr>
        <w:t>Al</w:t>
      </w:r>
      <w:r>
        <w:rPr>
          <w:rFonts w:hint="eastAsia" w:ascii="宋体" w:hAnsi="宋体"/>
          <w:bCs/>
          <w:sz w:val="24"/>
          <w:szCs w:val="24"/>
        </w:rPr>
        <w:t>设计调研问卷</w:t>
      </w:r>
    </w:p>
    <w:p w14:paraId="72FD7A1E">
      <w:pPr>
        <w:tabs>
          <w:tab w:val="left" w:pos="1440"/>
        </w:tabs>
        <w:spacing w:line="480" w:lineRule="exact"/>
        <w:rPr>
          <w:rFonts w:ascii="宋体" w:hAnsi="宋体"/>
          <w:bCs/>
          <w:sz w:val="24"/>
          <w:szCs w:val="24"/>
        </w:rPr>
      </w:pPr>
      <w:r>
        <w:rPr>
          <w:rFonts w:hint="eastAsia" w:ascii="宋体" w:hAnsi="宋体"/>
          <w:bCs/>
          <w:sz w:val="24"/>
          <w:szCs w:val="24"/>
        </w:rPr>
        <w:t>3）用</w:t>
      </w:r>
      <w:r>
        <w:rPr>
          <w:rFonts w:ascii="宋体" w:hAnsi="宋体"/>
          <w:bCs/>
          <w:sz w:val="24"/>
          <w:szCs w:val="24"/>
        </w:rPr>
        <w:t>Al</w:t>
      </w:r>
      <w:r>
        <w:rPr>
          <w:rFonts w:hint="eastAsia" w:ascii="宋体" w:hAnsi="宋体"/>
          <w:bCs/>
          <w:sz w:val="24"/>
          <w:szCs w:val="24"/>
        </w:rPr>
        <w:t>设计访谈提纲</w:t>
      </w:r>
    </w:p>
    <w:p w14:paraId="716EAB67">
      <w:pPr>
        <w:tabs>
          <w:tab w:val="left" w:pos="1440"/>
        </w:tabs>
        <w:spacing w:line="480" w:lineRule="exact"/>
        <w:rPr>
          <w:rFonts w:ascii="宋体" w:hAnsi="宋体"/>
          <w:bCs/>
          <w:sz w:val="24"/>
          <w:szCs w:val="24"/>
        </w:rPr>
      </w:pPr>
      <w:r>
        <w:rPr>
          <w:rFonts w:hint="eastAsia" w:ascii="宋体" w:hAnsi="宋体"/>
          <w:bCs/>
          <w:sz w:val="24"/>
          <w:szCs w:val="24"/>
        </w:rPr>
        <w:t>4）用</w:t>
      </w:r>
      <w:r>
        <w:rPr>
          <w:rFonts w:ascii="宋体" w:hAnsi="宋体"/>
          <w:bCs/>
          <w:sz w:val="24"/>
          <w:szCs w:val="24"/>
        </w:rPr>
        <w:t>Al</w:t>
      </w:r>
      <w:r>
        <w:rPr>
          <w:rFonts w:hint="eastAsia" w:ascii="宋体" w:hAnsi="宋体"/>
          <w:bCs/>
          <w:sz w:val="24"/>
          <w:szCs w:val="24"/>
        </w:rPr>
        <w:t>整理访谈记录：通义干问</w:t>
      </w:r>
    </w:p>
    <w:p w14:paraId="773D3096">
      <w:pPr>
        <w:tabs>
          <w:tab w:val="left" w:pos="1440"/>
        </w:tabs>
        <w:spacing w:line="480" w:lineRule="exact"/>
        <w:rPr>
          <w:rFonts w:hint="eastAsia" w:ascii="宋体" w:hAnsi="宋体"/>
          <w:bCs/>
          <w:sz w:val="24"/>
          <w:szCs w:val="24"/>
        </w:rPr>
      </w:pPr>
      <w:r>
        <w:rPr>
          <w:rFonts w:hint="eastAsia" w:ascii="宋体" w:hAnsi="宋体"/>
          <w:bCs/>
          <w:sz w:val="24"/>
          <w:szCs w:val="24"/>
        </w:rPr>
        <w:t>7. 用AI强化应用迁移、提升价值呈现</w:t>
      </w:r>
    </w:p>
    <w:p w14:paraId="0A4E1C2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二、</w:t>
      </w:r>
      <w:r>
        <w:rPr>
          <w:rFonts w:ascii="宋体" w:hAnsi="宋体"/>
          <w:b/>
          <w:bCs/>
          <w:color w:val="C45911"/>
          <w:sz w:val="24"/>
          <w:szCs w:val="24"/>
        </w:rPr>
        <w:t>国企专属大模型DeepSeek的技术特性</w:t>
      </w:r>
    </w:p>
    <w:p w14:paraId="32CAB7B4">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三、</w:t>
      </w:r>
      <w:r>
        <w:rPr>
          <w:rFonts w:ascii="宋体" w:hAnsi="宋体"/>
          <w:b/>
          <w:bCs/>
          <w:color w:val="C45911"/>
          <w:sz w:val="24"/>
          <w:szCs w:val="24"/>
        </w:rPr>
        <w:t>AI与法人治理的融合趋势</w:t>
      </w:r>
    </w:p>
    <w:p w14:paraId="73FB5E71">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1. </w:t>
      </w:r>
      <w:r>
        <w:rPr>
          <w:rFonts w:ascii="宋体" w:hAnsi="宋体"/>
          <w:bCs/>
          <w:sz w:val="24"/>
          <w:szCs w:val="24"/>
        </w:rPr>
        <w:t>AI技术发展对企业治理的颠覆性影响</w:t>
      </w:r>
      <w:r>
        <w:rPr>
          <w:rFonts w:hint="eastAsia" w:ascii="宋体" w:hAnsi="宋体"/>
          <w:bCs/>
          <w:sz w:val="24"/>
          <w:szCs w:val="24"/>
        </w:rPr>
        <w:t>：</w:t>
      </w:r>
      <w:r>
        <w:rPr>
          <w:rFonts w:ascii="宋体" w:hAnsi="宋体"/>
          <w:bCs/>
          <w:sz w:val="24"/>
          <w:szCs w:val="24"/>
        </w:rPr>
        <w:t>从传统治理到智能化决策的演变</w:t>
      </w:r>
    </w:p>
    <w:p w14:paraId="2059062F">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企业法人治理的核心挑战与AI机遇</w:t>
      </w:r>
      <w:r>
        <w:rPr>
          <w:rFonts w:hint="eastAsia" w:ascii="宋体" w:hAnsi="宋体"/>
          <w:bCs/>
          <w:sz w:val="24"/>
          <w:szCs w:val="24"/>
        </w:rPr>
        <w:t>：</w:t>
      </w:r>
      <w:r>
        <w:rPr>
          <w:rFonts w:ascii="宋体" w:hAnsi="宋体"/>
          <w:bCs/>
          <w:sz w:val="24"/>
          <w:szCs w:val="24"/>
        </w:rPr>
        <w:t>数据驱动、效率优化、风险管控的升级需求</w:t>
      </w:r>
    </w:p>
    <w:p w14:paraId="1C80283B">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四</w:t>
      </w:r>
      <w:r>
        <w:rPr>
          <w:rFonts w:ascii="宋体" w:hAnsi="宋体"/>
          <w:b/>
          <w:bCs/>
          <w:color w:val="C45911"/>
          <w:sz w:val="24"/>
          <w:szCs w:val="24"/>
        </w:rPr>
        <w:t>、AI赋能法人治理的四大关键领域</w:t>
      </w:r>
    </w:p>
    <w:p w14:paraId="21573B91">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1. </w:t>
      </w:r>
      <w:r>
        <w:rPr>
          <w:rFonts w:ascii="宋体" w:hAnsi="宋体"/>
          <w:bCs/>
          <w:sz w:val="24"/>
          <w:szCs w:val="24"/>
        </w:rPr>
        <w:t>数据治理智能化</w:t>
      </w:r>
      <w:r>
        <w:rPr>
          <w:rFonts w:hint="eastAsia" w:ascii="宋体" w:hAnsi="宋体"/>
          <w:bCs/>
          <w:sz w:val="24"/>
          <w:szCs w:val="24"/>
        </w:rPr>
        <w:t>：</w:t>
      </w:r>
      <w:r>
        <w:rPr>
          <w:rFonts w:ascii="宋体" w:hAnsi="宋体"/>
          <w:bCs/>
          <w:sz w:val="24"/>
          <w:szCs w:val="24"/>
        </w:rPr>
        <w:t>数据清洗、分析与企业决策支持（参考企业级AI+数据治理框架）</w:t>
      </w:r>
    </w:p>
    <w:p w14:paraId="5EFFCD2E">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合规与风险管理的AI应用</w:t>
      </w:r>
      <w:r>
        <w:rPr>
          <w:rFonts w:hint="eastAsia" w:ascii="宋体" w:hAnsi="宋体"/>
          <w:bCs/>
          <w:sz w:val="24"/>
          <w:szCs w:val="24"/>
        </w:rPr>
        <w:t>：</w:t>
      </w:r>
      <w:r>
        <w:rPr>
          <w:rFonts w:ascii="宋体" w:hAnsi="宋体"/>
          <w:bCs/>
          <w:sz w:val="24"/>
          <w:szCs w:val="24"/>
        </w:rPr>
        <w:t>AI在合同审查、法律风险预警中的实践</w:t>
      </w:r>
    </w:p>
    <w:p w14:paraId="321B5C30">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3. </w:t>
      </w:r>
      <w:r>
        <w:rPr>
          <w:rFonts w:ascii="宋体" w:hAnsi="宋体"/>
          <w:bCs/>
          <w:sz w:val="24"/>
          <w:szCs w:val="24"/>
        </w:rPr>
        <w:t>组织架构与流程优化</w:t>
      </w:r>
      <w:r>
        <w:rPr>
          <w:rFonts w:hint="eastAsia" w:ascii="宋体" w:hAnsi="宋体"/>
          <w:bCs/>
          <w:sz w:val="24"/>
          <w:szCs w:val="24"/>
        </w:rPr>
        <w:t>：</w:t>
      </w:r>
      <w:r>
        <w:rPr>
          <w:rFonts w:ascii="宋体" w:hAnsi="宋体"/>
          <w:bCs/>
          <w:sz w:val="24"/>
          <w:szCs w:val="24"/>
        </w:rPr>
        <w:t>AI驱动部门协作效率提升与权责分配优化</w:t>
      </w:r>
    </w:p>
    <w:p w14:paraId="550F02A2">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4. </w:t>
      </w:r>
      <w:r>
        <w:rPr>
          <w:rFonts w:ascii="宋体" w:hAnsi="宋体"/>
          <w:bCs/>
          <w:sz w:val="24"/>
          <w:szCs w:val="24"/>
        </w:rPr>
        <w:t>股东权益与利益平衡</w:t>
      </w:r>
      <w:r>
        <w:rPr>
          <w:rFonts w:hint="eastAsia" w:ascii="宋体" w:hAnsi="宋体"/>
          <w:bCs/>
          <w:sz w:val="24"/>
          <w:szCs w:val="24"/>
        </w:rPr>
        <w:t>：</w:t>
      </w:r>
      <w:r>
        <w:rPr>
          <w:rFonts w:ascii="宋体" w:hAnsi="宋体"/>
          <w:bCs/>
          <w:sz w:val="24"/>
          <w:szCs w:val="24"/>
        </w:rPr>
        <w:t>AI辅助股权结构设计与利益分配模型</w:t>
      </w:r>
    </w:p>
    <w:p w14:paraId="1FC03D14">
      <w:pPr>
        <w:adjustRightInd w:val="0"/>
        <w:snapToGrid w:val="0"/>
        <w:spacing w:line="480" w:lineRule="exact"/>
        <w:rPr>
          <w:rFonts w:ascii="宋体" w:hAnsi="宋体"/>
          <w:b/>
          <w:bCs/>
          <w:color w:val="C45911"/>
          <w:sz w:val="24"/>
          <w:szCs w:val="24"/>
        </w:rPr>
      </w:pPr>
      <w:r>
        <w:rPr>
          <w:rFonts w:hint="eastAsia" w:ascii="宋体" w:hAnsi="宋体"/>
          <w:b/>
          <w:bCs/>
          <w:color w:val="C45911"/>
          <w:sz w:val="24"/>
          <w:szCs w:val="24"/>
        </w:rPr>
        <w:t>五、</w:t>
      </w:r>
      <w:r>
        <w:rPr>
          <w:rFonts w:ascii="宋体" w:hAnsi="宋体"/>
          <w:b/>
          <w:bCs/>
          <w:color w:val="C45911"/>
          <w:sz w:val="24"/>
          <w:szCs w:val="24"/>
        </w:rPr>
        <w:t>AI落地企业治理的实施路径</w:t>
      </w:r>
    </w:p>
    <w:p w14:paraId="40DEAD41">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1. </w:t>
      </w:r>
      <w:r>
        <w:rPr>
          <w:rFonts w:ascii="宋体" w:hAnsi="宋体"/>
          <w:bCs/>
          <w:sz w:val="24"/>
          <w:szCs w:val="24"/>
        </w:rPr>
        <w:t>技术选型与工具适配</w:t>
      </w:r>
      <w:r>
        <w:rPr>
          <w:rFonts w:hint="eastAsia" w:ascii="宋体" w:hAnsi="宋体"/>
          <w:bCs/>
          <w:sz w:val="24"/>
          <w:szCs w:val="24"/>
        </w:rPr>
        <w:t>：</w:t>
      </w:r>
      <w:r>
        <w:rPr>
          <w:rFonts w:ascii="宋体" w:hAnsi="宋体"/>
          <w:bCs/>
          <w:sz w:val="24"/>
          <w:szCs w:val="24"/>
        </w:rPr>
        <w:t>主流AI工具（如AIGC、智能风控系统）的应用场景</w:t>
      </w:r>
    </w:p>
    <w:p w14:paraId="30016B8C">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2. </w:t>
      </w:r>
      <w:r>
        <w:rPr>
          <w:rFonts w:ascii="宋体" w:hAnsi="宋体"/>
          <w:bCs/>
          <w:sz w:val="24"/>
          <w:szCs w:val="24"/>
        </w:rPr>
        <w:t>组织能力建设</w:t>
      </w:r>
      <w:r>
        <w:rPr>
          <w:rFonts w:hint="eastAsia" w:ascii="宋体" w:hAnsi="宋体"/>
          <w:bCs/>
          <w:sz w:val="24"/>
          <w:szCs w:val="24"/>
        </w:rPr>
        <w:t>：</w:t>
      </w:r>
      <w:r>
        <w:rPr>
          <w:rFonts w:ascii="宋体" w:hAnsi="宋体"/>
          <w:bCs/>
          <w:sz w:val="24"/>
          <w:szCs w:val="24"/>
        </w:rPr>
        <w:t>人才培养、跨部门协作与治理文化转型</w:t>
      </w:r>
    </w:p>
    <w:p w14:paraId="4E4BD9BF">
      <w:pPr>
        <w:tabs>
          <w:tab w:val="left" w:pos="720"/>
          <w:tab w:val="left" w:pos="1440"/>
        </w:tabs>
        <w:spacing w:line="480" w:lineRule="exact"/>
        <w:rPr>
          <w:rFonts w:ascii="宋体" w:hAnsi="宋体"/>
          <w:bCs/>
          <w:sz w:val="24"/>
          <w:szCs w:val="24"/>
        </w:rPr>
      </w:pPr>
      <w:r>
        <w:rPr>
          <w:rFonts w:hint="eastAsia" w:ascii="宋体" w:hAnsi="宋体"/>
          <w:bCs/>
          <w:sz w:val="24"/>
          <w:szCs w:val="24"/>
        </w:rPr>
        <w:t xml:space="preserve">3. </w:t>
      </w:r>
      <w:r>
        <w:rPr>
          <w:rFonts w:ascii="宋体" w:hAnsi="宋体"/>
          <w:bCs/>
          <w:sz w:val="24"/>
          <w:szCs w:val="24"/>
        </w:rPr>
        <w:t>分阶段推进策略</w:t>
      </w:r>
      <w:r>
        <w:rPr>
          <w:rFonts w:hint="eastAsia" w:ascii="宋体" w:hAnsi="宋体"/>
          <w:bCs/>
          <w:sz w:val="24"/>
          <w:szCs w:val="24"/>
        </w:rPr>
        <w:t>：</w:t>
      </w:r>
      <w:r>
        <w:rPr>
          <w:rFonts w:ascii="宋体" w:hAnsi="宋体"/>
          <w:bCs/>
          <w:sz w:val="24"/>
          <w:szCs w:val="24"/>
        </w:rPr>
        <w:t>从试点到全面推广的实践案例</w:t>
      </w:r>
    </w:p>
    <w:sectPr>
      <w:pgSz w:w="11906" w:h="16838"/>
      <w:pgMar w:top="1134" w:right="1134" w:bottom="1134" w:left="1134" w:header="73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B4"/>
    <w:rsid w:val="00000686"/>
    <w:rsid w:val="00006043"/>
    <w:rsid w:val="00011A9A"/>
    <w:rsid w:val="00015B6C"/>
    <w:rsid w:val="00017617"/>
    <w:rsid w:val="000304E5"/>
    <w:rsid w:val="00045E3D"/>
    <w:rsid w:val="000644AB"/>
    <w:rsid w:val="00066FE6"/>
    <w:rsid w:val="00073617"/>
    <w:rsid w:val="00074B82"/>
    <w:rsid w:val="00075279"/>
    <w:rsid w:val="000775DC"/>
    <w:rsid w:val="00083C83"/>
    <w:rsid w:val="00083D12"/>
    <w:rsid w:val="00083E44"/>
    <w:rsid w:val="00090BD8"/>
    <w:rsid w:val="000911E0"/>
    <w:rsid w:val="000944C7"/>
    <w:rsid w:val="00094E2B"/>
    <w:rsid w:val="000A2918"/>
    <w:rsid w:val="000A7F77"/>
    <w:rsid w:val="000C0F68"/>
    <w:rsid w:val="000C669E"/>
    <w:rsid w:val="000E608B"/>
    <w:rsid w:val="000E616A"/>
    <w:rsid w:val="000E75D0"/>
    <w:rsid w:val="000F4662"/>
    <w:rsid w:val="00100645"/>
    <w:rsid w:val="001300CA"/>
    <w:rsid w:val="00133495"/>
    <w:rsid w:val="00135B3A"/>
    <w:rsid w:val="00141EA9"/>
    <w:rsid w:val="00155A81"/>
    <w:rsid w:val="00165219"/>
    <w:rsid w:val="001659F8"/>
    <w:rsid w:val="00165E6E"/>
    <w:rsid w:val="00176C83"/>
    <w:rsid w:val="001816EA"/>
    <w:rsid w:val="001859E9"/>
    <w:rsid w:val="0018725E"/>
    <w:rsid w:val="00187B05"/>
    <w:rsid w:val="001936D8"/>
    <w:rsid w:val="00195E76"/>
    <w:rsid w:val="001C0783"/>
    <w:rsid w:val="001C65BE"/>
    <w:rsid w:val="001E7D4F"/>
    <w:rsid w:val="001F3795"/>
    <w:rsid w:val="002028F6"/>
    <w:rsid w:val="002123D5"/>
    <w:rsid w:val="00217071"/>
    <w:rsid w:val="0026372A"/>
    <w:rsid w:val="002666D0"/>
    <w:rsid w:val="00291CF6"/>
    <w:rsid w:val="002A43B4"/>
    <w:rsid w:val="002A6B41"/>
    <w:rsid w:val="002D3304"/>
    <w:rsid w:val="002F3F19"/>
    <w:rsid w:val="00305DCD"/>
    <w:rsid w:val="00320819"/>
    <w:rsid w:val="003326DD"/>
    <w:rsid w:val="00342D32"/>
    <w:rsid w:val="0038214F"/>
    <w:rsid w:val="003938CE"/>
    <w:rsid w:val="00395090"/>
    <w:rsid w:val="00395CAD"/>
    <w:rsid w:val="003A2A20"/>
    <w:rsid w:val="003A7B91"/>
    <w:rsid w:val="003B5930"/>
    <w:rsid w:val="003C2A47"/>
    <w:rsid w:val="003C2D31"/>
    <w:rsid w:val="003E3A53"/>
    <w:rsid w:val="003F1103"/>
    <w:rsid w:val="00400CA9"/>
    <w:rsid w:val="004035F6"/>
    <w:rsid w:val="00422644"/>
    <w:rsid w:val="00434CA1"/>
    <w:rsid w:val="00440B73"/>
    <w:rsid w:val="00445EAF"/>
    <w:rsid w:val="00446E62"/>
    <w:rsid w:val="00447F34"/>
    <w:rsid w:val="00457B1C"/>
    <w:rsid w:val="0047581D"/>
    <w:rsid w:val="004C2F2F"/>
    <w:rsid w:val="004C6F83"/>
    <w:rsid w:val="004F44AF"/>
    <w:rsid w:val="004F5D7A"/>
    <w:rsid w:val="0050178B"/>
    <w:rsid w:val="005206B4"/>
    <w:rsid w:val="00532AF8"/>
    <w:rsid w:val="00535E96"/>
    <w:rsid w:val="00543365"/>
    <w:rsid w:val="0054757B"/>
    <w:rsid w:val="00547BAD"/>
    <w:rsid w:val="00563CD6"/>
    <w:rsid w:val="00572B87"/>
    <w:rsid w:val="00575D06"/>
    <w:rsid w:val="005773E3"/>
    <w:rsid w:val="0058587B"/>
    <w:rsid w:val="00592739"/>
    <w:rsid w:val="005B1F80"/>
    <w:rsid w:val="005B5B89"/>
    <w:rsid w:val="005C6C32"/>
    <w:rsid w:val="005C7373"/>
    <w:rsid w:val="005E45EE"/>
    <w:rsid w:val="005E7A8C"/>
    <w:rsid w:val="006379BB"/>
    <w:rsid w:val="006411FA"/>
    <w:rsid w:val="0066456C"/>
    <w:rsid w:val="00664E8E"/>
    <w:rsid w:val="00686F39"/>
    <w:rsid w:val="00690446"/>
    <w:rsid w:val="00693D2C"/>
    <w:rsid w:val="006A1A77"/>
    <w:rsid w:val="006B0F28"/>
    <w:rsid w:val="006C58C8"/>
    <w:rsid w:val="006C5E97"/>
    <w:rsid w:val="006D5CD9"/>
    <w:rsid w:val="006E04AA"/>
    <w:rsid w:val="006E540C"/>
    <w:rsid w:val="007070A3"/>
    <w:rsid w:val="00732C1F"/>
    <w:rsid w:val="007765CF"/>
    <w:rsid w:val="00780814"/>
    <w:rsid w:val="007A1F3A"/>
    <w:rsid w:val="007A2F7F"/>
    <w:rsid w:val="007A336E"/>
    <w:rsid w:val="007A3766"/>
    <w:rsid w:val="007B5986"/>
    <w:rsid w:val="007C60A9"/>
    <w:rsid w:val="007D2151"/>
    <w:rsid w:val="007E3435"/>
    <w:rsid w:val="00801C65"/>
    <w:rsid w:val="0081046E"/>
    <w:rsid w:val="00812778"/>
    <w:rsid w:val="00814D68"/>
    <w:rsid w:val="00825651"/>
    <w:rsid w:val="00844C02"/>
    <w:rsid w:val="00846BB1"/>
    <w:rsid w:val="00852FFD"/>
    <w:rsid w:val="00864C23"/>
    <w:rsid w:val="00866FFA"/>
    <w:rsid w:val="00867DCA"/>
    <w:rsid w:val="0087520C"/>
    <w:rsid w:val="00894A56"/>
    <w:rsid w:val="008A2727"/>
    <w:rsid w:val="008A58F9"/>
    <w:rsid w:val="008B4EF6"/>
    <w:rsid w:val="008D0882"/>
    <w:rsid w:val="008D3EFA"/>
    <w:rsid w:val="008E3A1D"/>
    <w:rsid w:val="008E3D63"/>
    <w:rsid w:val="008F1B2D"/>
    <w:rsid w:val="008F23A7"/>
    <w:rsid w:val="008F2CC9"/>
    <w:rsid w:val="0091763A"/>
    <w:rsid w:val="009242B0"/>
    <w:rsid w:val="00961D2D"/>
    <w:rsid w:val="00961D83"/>
    <w:rsid w:val="00962828"/>
    <w:rsid w:val="00963904"/>
    <w:rsid w:val="009772C6"/>
    <w:rsid w:val="009B4AAA"/>
    <w:rsid w:val="009B5B10"/>
    <w:rsid w:val="009F0CB3"/>
    <w:rsid w:val="00A202B4"/>
    <w:rsid w:val="00A27578"/>
    <w:rsid w:val="00A331A7"/>
    <w:rsid w:val="00A50D2B"/>
    <w:rsid w:val="00A550B5"/>
    <w:rsid w:val="00A636D5"/>
    <w:rsid w:val="00A67EAA"/>
    <w:rsid w:val="00A81A0C"/>
    <w:rsid w:val="00AA1E2B"/>
    <w:rsid w:val="00AA3D50"/>
    <w:rsid w:val="00AB1CE8"/>
    <w:rsid w:val="00AC1847"/>
    <w:rsid w:val="00AD5394"/>
    <w:rsid w:val="00AF6339"/>
    <w:rsid w:val="00B1489C"/>
    <w:rsid w:val="00B176D5"/>
    <w:rsid w:val="00B255D8"/>
    <w:rsid w:val="00B355F9"/>
    <w:rsid w:val="00B36E67"/>
    <w:rsid w:val="00B50C53"/>
    <w:rsid w:val="00B52B81"/>
    <w:rsid w:val="00B537CB"/>
    <w:rsid w:val="00B6278B"/>
    <w:rsid w:val="00B75D80"/>
    <w:rsid w:val="00B775D7"/>
    <w:rsid w:val="00B93131"/>
    <w:rsid w:val="00BA1920"/>
    <w:rsid w:val="00BB6A4F"/>
    <w:rsid w:val="00BC2CAA"/>
    <w:rsid w:val="00BC3366"/>
    <w:rsid w:val="00BC34DA"/>
    <w:rsid w:val="00BE4DD4"/>
    <w:rsid w:val="00C03CC5"/>
    <w:rsid w:val="00C07271"/>
    <w:rsid w:val="00C13FB3"/>
    <w:rsid w:val="00C2497A"/>
    <w:rsid w:val="00C3097C"/>
    <w:rsid w:val="00C31F02"/>
    <w:rsid w:val="00C52C1F"/>
    <w:rsid w:val="00CA1723"/>
    <w:rsid w:val="00CC5477"/>
    <w:rsid w:val="00CC66CC"/>
    <w:rsid w:val="00CD2C86"/>
    <w:rsid w:val="00CD5ACC"/>
    <w:rsid w:val="00CD7B2F"/>
    <w:rsid w:val="00CF407B"/>
    <w:rsid w:val="00D000D3"/>
    <w:rsid w:val="00D021A0"/>
    <w:rsid w:val="00D02F0E"/>
    <w:rsid w:val="00D047F6"/>
    <w:rsid w:val="00D13F23"/>
    <w:rsid w:val="00D14A75"/>
    <w:rsid w:val="00D173BF"/>
    <w:rsid w:val="00D256F2"/>
    <w:rsid w:val="00D27C55"/>
    <w:rsid w:val="00D35631"/>
    <w:rsid w:val="00D37DD8"/>
    <w:rsid w:val="00D40854"/>
    <w:rsid w:val="00D42929"/>
    <w:rsid w:val="00D4303D"/>
    <w:rsid w:val="00D44883"/>
    <w:rsid w:val="00D4528B"/>
    <w:rsid w:val="00D72AFF"/>
    <w:rsid w:val="00D81E79"/>
    <w:rsid w:val="00D85145"/>
    <w:rsid w:val="00D94063"/>
    <w:rsid w:val="00D97363"/>
    <w:rsid w:val="00D97366"/>
    <w:rsid w:val="00DB5219"/>
    <w:rsid w:val="00DC2CEE"/>
    <w:rsid w:val="00DE51C6"/>
    <w:rsid w:val="00DF3DE6"/>
    <w:rsid w:val="00E020F7"/>
    <w:rsid w:val="00E06659"/>
    <w:rsid w:val="00E150ED"/>
    <w:rsid w:val="00E169BD"/>
    <w:rsid w:val="00E36703"/>
    <w:rsid w:val="00E36DD5"/>
    <w:rsid w:val="00E51206"/>
    <w:rsid w:val="00E65431"/>
    <w:rsid w:val="00E856D5"/>
    <w:rsid w:val="00EA586F"/>
    <w:rsid w:val="00EA5EA6"/>
    <w:rsid w:val="00ED2EA0"/>
    <w:rsid w:val="00ED464F"/>
    <w:rsid w:val="00ED6053"/>
    <w:rsid w:val="00ED69D4"/>
    <w:rsid w:val="00EE1A68"/>
    <w:rsid w:val="00EF1452"/>
    <w:rsid w:val="00F00A15"/>
    <w:rsid w:val="00F025C8"/>
    <w:rsid w:val="00F16A66"/>
    <w:rsid w:val="00F4274B"/>
    <w:rsid w:val="00F47595"/>
    <w:rsid w:val="00F50623"/>
    <w:rsid w:val="00F56CB7"/>
    <w:rsid w:val="00F65ED7"/>
    <w:rsid w:val="00F76FA1"/>
    <w:rsid w:val="00F77ABF"/>
    <w:rsid w:val="00FA1300"/>
    <w:rsid w:val="00FB29E6"/>
    <w:rsid w:val="00FB2B8B"/>
    <w:rsid w:val="00FB4A5E"/>
    <w:rsid w:val="00FC6AA2"/>
    <w:rsid w:val="00FE524D"/>
    <w:rsid w:val="00FF7763"/>
    <w:rsid w:val="347718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8">
    <w:name w:val="Default Paragraph Font"/>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paragraph" w:styleId="2">
    <w:name w:val="Balloon Text"/>
    <w:basedOn w:val="1"/>
    <w:link w:val="11"/>
    <w:semiHidden/>
    <w:unhideWhenUsed/>
    <w:uiPriority w:val="99"/>
    <w:rPr>
      <w:sz w:val="18"/>
      <w:szCs w:val="18"/>
    </w:rPr>
  </w:style>
  <w:style w:type="paragraph" w:styleId="3">
    <w:name w:val="footer"/>
    <w:basedOn w:val="1"/>
    <w:link w:val="13"/>
    <w:unhideWhenUsed/>
    <w:uiPriority w:val="0"/>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59"/>
    <w:tblPr>
      <w:tblStyle w:val="6"/>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qFormat/>
    <w:uiPriority w:val="0"/>
    <w:rPr>
      <w:b/>
      <w:bCs/>
    </w:rPr>
  </w:style>
  <w:style w:type="character" w:styleId="10">
    <w:name w:val="Hyperlink"/>
    <w:unhideWhenUsed/>
    <w:qFormat/>
    <w:uiPriority w:val="99"/>
    <w:rPr>
      <w:color w:val="0000FF"/>
      <w:u w:val="single"/>
    </w:rPr>
  </w:style>
  <w:style w:type="character" w:customStyle="1" w:styleId="11">
    <w:name w:val="批注框文本 Char"/>
    <w:link w:val="2"/>
    <w:semiHidden/>
    <w:uiPriority w:val="99"/>
    <w:rPr>
      <w:sz w:val="18"/>
      <w:szCs w:val="18"/>
    </w:rPr>
  </w:style>
  <w:style w:type="character" w:customStyle="1" w:styleId="12">
    <w:name w:val="页眉 Char"/>
    <w:link w:val="4"/>
    <w:uiPriority w:val="99"/>
    <w:rPr>
      <w:sz w:val="18"/>
      <w:szCs w:val="18"/>
    </w:rPr>
  </w:style>
  <w:style w:type="character" w:customStyle="1" w:styleId="13">
    <w:name w:val="页脚 Char"/>
    <w:link w:val="3"/>
    <w:uiPriority w:val="99"/>
    <w:rPr>
      <w:sz w:val="18"/>
      <w:szCs w:val="18"/>
    </w:rPr>
  </w:style>
  <w:style w:type="paragraph" w:styleId="14">
    <w:name w:val="List Paragraph"/>
    <w:basedOn w:val="1"/>
    <w:qFormat/>
    <w:uiPriority w:val="99"/>
    <w:pPr>
      <w:ind w:firstLine="420" w:firstLineChars="200"/>
    </w:pPr>
  </w:style>
  <w:style w:type="paragraph" w:customStyle="1" w:styleId="15">
    <w:name w:val="列出段落1"/>
    <w:basedOn w:val="1"/>
    <w:qFormat/>
    <w:uiPriority w:val="0"/>
    <w:pPr>
      <w:ind w:firstLine="420" w:firstLineChars="200"/>
    </w:pPr>
    <w:rPr>
      <w:rFonts w:ascii="Calibri" w:hAnsi="Calibri" w:eastAsia="宋体" w:cs="Times New Roman"/>
    </w:rPr>
  </w:style>
  <w:style w:type="paragraph" w:customStyle="1" w:styleId="16">
    <w:name w:val="列出段落4"/>
    <w:basedOn w:val="1"/>
    <w:unhideWhenUsed/>
    <w:qFormat/>
    <w:uiPriority w:val="34"/>
    <w:pPr>
      <w:ind w:firstLine="420" w:firstLineChars="200"/>
    </w:pPr>
    <w:rPr>
      <w:rFonts w:ascii="Calibri" w:hAnsi="Calibri" w:eastAsia="宋体" w:cs="Times New Roman"/>
    </w:rPr>
  </w:style>
  <w:style w:type="character" w:customStyle="1" w:styleId="17">
    <w:name w:val="15"/>
    <w:qFormat/>
    <w:uiPriority w:val="0"/>
    <w:rPr>
      <w:rFonts w:hint="default" w:ascii="Calibri" w:hAnsi="Calibri"/>
      <w:color w:val="0000FF"/>
      <w:u w:val="single"/>
    </w:rPr>
  </w:style>
  <w:style w:type="character" w:styleId="18">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5684</Words>
  <Characters>5996</Characters>
  <Lines>183</Lines>
  <Paragraphs>296</Paragraphs>
  <TotalTime>0</TotalTime>
  <ScaleCrop>false</ScaleCrop>
  <LinksUpToDate>false</LinksUpToDate>
  <CharactersWithSpaces>6187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2025-04-27T10:48:00Z</dcterms:created>
  <dc:creator>Wujun</dc:creator>
  <cp:lastModifiedBy>su</cp:lastModifiedBy>
  <cp:lastPrinted>2016-05-10T08:43:00Z</cp:lastPrinted>
  <dcterms:modified xsi:type="dcterms:W3CDTF">2025-05-23T02:36:30Z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37DA9A731D0C46838B9DC75EE5717F82_13</vt:lpwstr>
  </property>
</Properties>
</file>