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4C959">
      <w:pPr>
        <w:pStyle w:val="5"/>
        <w:widowControl/>
        <w:spacing w:before="0" w:beforeAutospacing="0" w:after="0" w:afterAutospacing="0" w:line="460" w:lineRule="exact"/>
        <w:rPr>
          <w:rFonts w:ascii="宋体" w:hAnsi="宋体" w:cs="微软雅黑"/>
          <w:b/>
          <w:bCs/>
          <w:kern w:val="24"/>
          <w:sz w:val="32"/>
          <w:szCs w:val="32"/>
        </w:rPr>
      </w:pPr>
      <w:bookmarkStart w:id="2" w:name="_GoBack"/>
      <w:bookmarkEnd w:id="2"/>
      <w:r>
        <w:rPr>
          <w:rFonts w:ascii="宋体" w:hAnsi="宋体"/>
          <w:sz w:val="32"/>
          <w:szCs w:val="32"/>
          <w:lang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3940810</wp:posOffset>
            </wp:positionH>
            <wp:positionV relativeFrom="paragraph">
              <wp:posOffset>153035</wp:posOffset>
            </wp:positionV>
            <wp:extent cx="2044700" cy="2689225"/>
            <wp:effectExtent l="0" t="0" r="0" b="15875"/>
            <wp:wrapSquare wrapText="bothSides"/>
            <wp:docPr id="2" name="图片 2" descr="微信图片_2023090717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9071710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32"/>
          <w:szCs w:val="32"/>
        </w:rPr>
        <w:t xml:space="preserve">谢瑞宝老师 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 w:cs="微软雅黑"/>
          <w:b/>
          <w:bCs/>
          <w:kern w:val="24"/>
          <w:sz w:val="32"/>
          <w:szCs w:val="32"/>
        </w:rPr>
        <w:t>管理技能系统训练专家</w:t>
      </w:r>
    </w:p>
    <w:p w14:paraId="3DC28884">
      <w:pPr>
        <w:spacing w:line="460" w:lineRule="exact"/>
        <w:rPr>
          <w:rFonts w:ascii="宋体" w:hAnsi="宋体" w:eastAsia="宋体"/>
          <w:bCs/>
          <w:sz w:val="24"/>
          <w:szCs w:val="24"/>
        </w:rPr>
      </w:pPr>
      <w:bookmarkStart w:id="0" w:name="_Hlk49846094"/>
      <w:r>
        <w:rPr>
          <w:rFonts w:ascii="宋体" w:hAnsi="宋体" w:eastAsia="宋体"/>
          <w:bCs/>
          <w:sz w:val="24"/>
          <w:szCs w:val="24"/>
        </w:rPr>
        <w:t>20年中高层管理实战经验</w:t>
      </w:r>
    </w:p>
    <w:p w14:paraId="20A62D84">
      <w:pPr>
        <w:spacing w:line="46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bCs/>
          <w:sz w:val="24"/>
          <w:szCs w:val="24"/>
        </w:rPr>
        <w:t>8年</w:t>
      </w:r>
      <w:r>
        <w:rPr>
          <w:rFonts w:hint="eastAsia" w:ascii="宋体" w:hAnsi="宋体" w:eastAsia="宋体"/>
          <w:bCs/>
          <w:sz w:val="24"/>
          <w:szCs w:val="24"/>
        </w:rPr>
        <w:t>全球性咨</w:t>
      </w:r>
      <w:r>
        <w:rPr>
          <w:rFonts w:hint="eastAsia" w:ascii="宋体" w:hAnsi="宋体" w:eastAsia="宋体"/>
          <w:sz w:val="24"/>
          <w:szCs w:val="24"/>
        </w:rPr>
        <w:t>询公司专业咨询经</w:t>
      </w:r>
      <w:r>
        <w:rPr>
          <w:rFonts w:ascii="宋体" w:hAnsi="宋体" w:eastAsia="宋体"/>
          <w:sz w:val="24"/>
          <w:szCs w:val="24"/>
        </w:rPr>
        <w:t>验</w:t>
      </w:r>
    </w:p>
    <w:p w14:paraId="4801B62A">
      <w:pPr>
        <w:spacing w:line="4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J</w:t>
      </w:r>
      <w:r>
        <w:rPr>
          <w:rFonts w:ascii="宋体" w:hAnsi="宋体" w:eastAsia="宋体" w:cs="黑体"/>
          <w:sz w:val="24"/>
          <w:szCs w:val="24"/>
        </w:rPr>
        <w:t>ITA</w:t>
      </w:r>
      <w:r>
        <w:rPr>
          <w:rFonts w:hint="eastAsia" w:ascii="宋体" w:hAnsi="宋体" w:eastAsia="宋体" w:cs="黑体"/>
          <w:sz w:val="24"/>
          <w:szCs w:val="24"/>
        </w:rPr>
        <w:t>（日产训）</w:t>
      </w:r>
      <w:r>
        <w:rPr>
          <w:rFonts w:hint="eastAsia" w:ascii="宋体" w:hAnsi="宋体" w:eastAsia="宋体"/>
          <w:sz w:val="24"/>
          <w:szCs w:val="24"/>
        </w:rPr>
        <w:t>MTP/TWI五证全版权讲师</w:t>
      </w:r>
    </w:p>
    <w:p w14:paraId="58198204">
      <w:pPr>
        <w:spacing w:line="46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工信部AIGC技术应用（通用办公）认证讲师</w:t>
      </w:r>
    </w:p>
    <w:p w14:paraId="421D7776">
      <w:pPr>
        <w:spacing w:line="46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AACTP国际注册行动学习促动师（ICF）</w:t>
      </w:r>
    </w:p>
    <w:p w14:paraId="6C38B9CA">
      <w:pPr>
        <w:spacing w:line="46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东尼•博赞思维导图国际认证管理师</w:t>
      </w:r>
    </w:p>
    <w:p w14:paraId="38E0E8F4">
      <w:pPr>
        <w:spacing w:line="460" w:lineRule="exact"/>
        <w:rPr>
          <w:rFonts w:hint="eastAsia"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美国A</w:t>
      </w:r>
      <w:r>
        <w:rPr>
          <w:rFonts w:ascii="宋体" w:hAnsi="宋体" w:eastAsia="宋体" w:cs="黑体"/>
          <w:sz w:val="24"/>
          <w:szCs w:val="24"/>
        </w:rPr>
        <w:t>LAMO</w:t>
      </w:r>
      <w:r>
        <w:rPr>
          <w:rFonts w:hint="eastAsia" w:ascii="宋体" w:hAnsi="宋体" w:eastAsia="宋体" w:cs="黑体"/>
          <w:sz w:val="24"/>
          <w:szCs w:val="24"/>
        </w:rPr>
        <w:t>《领导者之剑》版权认证讲师</w:t>
      </w:r>
    </w:p>
    <w:p w14:paraId="55C3E346">
      <w:pPr>
        <w:spacing w:line="46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中国管理科学学会高级学习设计师/经验萃取师</w:t>
      </w:r>
    </w:p>
    <w:p w14:paraId="03626E09">
      <w:pPr>
        <w:spacing w:line="460" w:lineRule="exact"/>
        <w:rPr>
          <w:rFonts w:hint="eastAsia"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中山大学</w:t>
      </w:r>
      <w:r>
        <w:rPr>
          <w:rFonts w:ascii="宋体" w:hAnsi="宋体" w:eastAsia="宋体" w:cs="黑体"/>
          <w:sz w:val="24"/>
          <w:szCs w:val="24"/>
        </w:rPr>
        <w:t>EMBA</w:t>
      </w:r>
      <w:r>
        <w:rPr>
          <w:rFonts w:hint="eastAsia" w:ascii="宋体" w:hAnsi="宋体" w:eastAsia="宋体" w:cs="黑体"/>
          <w:sz w:val="24"/>
          <w:szCs w:val="24"/>
        </w:rPr>
        <w:t>特聘专家/山东大学特聘专家</w:t>
      </w:r>
    </w:p>
    <w:p w14:paraId="5B409971">
      <w:pPr>
        <w:spacing w:line="460" w:lineRule="exact"/>
        <w:rPr>
          <w:rFonts w:hint="eastAsia"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曾任：</w:t>
      </w:r>
      <w:r>
        <w:rPr>
          <w:rFonts w:hint="eastAsia" w:ascii="宋体" w:hAnsi="宋体" w:eastAsia="宋体" w:cs="黑体"/>
          <w:bCs/>
          <w:sz w:val="24"/>
          <w:szCs w:val="24"/>
        </w:rPr>
        <w:t>山东小鸭集团公司丨企管部长</w:t>
      </w:r>
    </w:p>
    <w:p w14:paraId="4F3F6E71">
      <w:pPr>
        <w:spacing w:line="46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曾任：</w:t>
      </w:r>
      <w:r>
        <w:rPr>
          <w:rFonts w:hint="eastAsia" w:ascii="宋体" w:hAnsi="宋体" w:eastAsia="宋体" w:cs="黑体"/>
          <w:sz w:val="24"/>
          <w:szCs w:val="24"/>
        </w:rPr>
        <w:t>万科企业股份公司</w:t>
      </w:r>
      <w:r>
        <w:rPr>
          <w:rFonts w:hint="eastAsia" w:ascii="宋体" w:hAnsi="宋体" w:eastAsia="宋体" w:cs="黑体"/>
          <w:bCs/>
          <w:sz w:val="24"/>
          <w:szCs w:val="24"/>
        </w:rPr>
        <w:t>丨</w:t>
      </w:r>
      <w:r>
        <w:rPr>
          <w:rFonts w:hint="eastAsia" w:ascii="宋体" w:hAnsi="宋体" w:eastAsia="宋体" w:cs="黑体"/>
          <w:sz w:val="24"/>
          <w:szCs w:val="24"/>
        </w:rPr>
        <w:t>培训主管</w:t>
      </w:r>
    </w:p>
    <w:p w14:paraId="4BE2FA37">
      <w:pPr>
        <w:spacing w:line="46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曾任：</w:t>
      </w:r>
      <w:r>
        <w:rPr>
          <w:rFonts w:hint="eastAsia" w:ascii="宋体" w:hAnsi="宋体" w:eastAsia="宋体" w:cs="黑体"/>
          <w:sz w:val="24"/>
          <w:szCs w:val="24"/>
        </w:rPr>
        <w:t>深圳润迅通信集团</w:t>
      </w:r>
      <w:r>
        <w:rPr>
          <w:rFonts w:hint="eastAsia" w:ascii="宋体" w:hAnsi="宋体" w:eastAsia="宋体" w:cs="黑体"/>
          <w:bCs/>
          <w:sz w:val="24"/>
          <w:szCs w:val="24"/>
        </w:rPr>
        <w:t>丨</w:t>
      </w:r>
      <w:r>
        <w:rPr>
          <w:rFonts w:hint="eastAsia" w:ascii="宋体" w:hAnsi="宋体" w:eastAsia="宋体" w:cs="黑体"/>
          <w:sz w:val="24"/>
          <w:szCs w:val="24"/>
        </w:rPr>
        <w:t>高级经理</w:t>
      </w:r>
    </w:p>
    <w:p w14:paraId="5E177664">
      <w:pPr>
        <w:spacing w:line="46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曾任：</w:t>
      </w:r>
      <w:r>
        <w:rPr>
          <w:rFonts w:hint="eastAsia" w:ascii="宋体" w:hAnsi="宋体" w:eastAsia="宋体" w:cs="黑体"/>
          <w:sz w:val="24"/>
          <w:szCs w:val="24"/>
        </w:rPr>
        <w:t>深圳鹏峰汽车集团</w:t>
      </w:r>
      <w:r>
        <w:rPr>
          <w:rFonts w:hint="eastAsia" w:ascii="宋体" w:hAnsi="宋体" w:eastAsia="宋体" w:cs="黑体"/>
          <w:bCs/>
          <w:sz w:val="24"/>
          <w:szCs w:val="24"/>
        </w:rPr>
        <w:t>丨</w:t>
      </w:r>
      <w:r>
        <w:rPr>
          <w:rFonts w:ascii="宋体" w:hAnsi="宋体" w:eastAsia="宋体" w:cs="黑体"/>
          <w:sz w:val="24"/>
          <w:szCs w:val="24"/>
        </w:rPr>
        <w:t>执行副总裁</w:t>
      </w:r>
    </w:p>
    <w:p w14:paraId="48E7D84B">
      <w:pPr>
        <w:spacing w:line="46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曾任：</w:t>
      </w:r>
      <w:r>
        <w:rPr>
          <w:rFonts w:hint="eastAsia" w:ascii="宋体" w:hAnsi="宋体" w:eastAsia="宋体" w:cs="黑体"/>
          <w:sz w:val="24"/>
          <w:szCs w:val="24"/>
        </w:rPr>
        <w:t>上海联纵智达管理咨询集团</w:t>
      </w:r>
      <w:r>
        <w:rPr>
          <w:rFonts w:hint="eastAsia" w:ascii="宋体" w:hAnsi="宋体" w:eastAsia="宋体" w:cs="黑体"/>
          <w:bCs/>
          <w:sz w:val="24"/>
          <w:szCs w:val="24"/>
        </w:rPr>
        <w:t>丨</w:t>
      </w:r>
      <w:r>
        <w:rPr>
          <w:rFonts w:hint="eastAsia" w:ascii="宋体" w:hAnsi="宋体" w:eastAsia="宋体" w:cs="黑体"/>
          <w:sz w:val="24"/>
          <w:szCs w:val="24"/>
        </w:rPr>
        <w:t>高级合伙人</w:t>
      </w:r>
    </w:p>
    <w:bookmarkEnd w:id="0"/>
    <w:p w14:paraId="4894F776">
      <w:pPr>
        <w:spacing w:line="460" w:lineRule="exact"/>
        <w:rPr>
          <w:rFonts w:hint="eastAsia"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sz w:val="24"/>
          <w:szCs w:val="24"/>
        </w:rPr>
        <w:t>擅长领域：</w:t>
      </w:r>
      <w:r>
        <w:rPr>
          <w:rFonts w:hint="eastAsia" w:ascii="宋体" w:hAnsi="宋体" w:eastAsia="宋体" w:cs="黑体"/>
          <w:bCs/>
          <w:sz w:val="24"/>
          <w:szCs w:val="24"/>
        </w:rPr>
        <w:t>MTP/TWI管理技能提升、领导力、团队管理等</w:t>
      </w:r>
    </w:p>
    <w:p w14:paraId="16DA1EB7">
      <w:pPr>
        <w:spacing w:line="460" w:lineRule="exact"/>
        <w:rPr>
          <w:rFonts w:ascii="宋体" w:hAnsi="宋体" w:eastAsia="宋体" w:cs="黑体"/>
          <w:b/>
          <w:color w:val="000000"/>
          <w:sz w:val="24"/>
          <w:szCs w:val="24"/>
        </w:rPr>
      </w:pPr>
      <w:r>
        <w:rPr>
          <w:rFonts w:hint="eastAsia" w:ascii="宋体" w:hAnsi="宋体" w:eastAsia="宋体" w:cs="黑体"/>
          <w:b/>
          <w:color w:val="000000"/>
          <w:sz w:val="24"/>
          <w:szCs w:val="24"/>
        </w:rPr>
        <w:t>核心优势与独特价值主张：</w:t>
      </w:r>
    </w:p>
    <w:p w14:paraId="1BA745BE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color w:val="C00000"/>
          <w:sz w:val="24"/>
          <w:szCs w:val="24"/>
        </w:rPr>
        <w:t>1．</w:t>
      </w:r>
      <w:r>
        <w:rPr>
          <w:rFonts w:ascii="宋体" w:hAnsi="宋体" w:eastAsia="宋体" w:cs="黑体"/>
          <w:b/>
          <w:bCs/>
          <w:color w:val="C00000"/>
          <w:sz w:val="24"/>
          <w:szCs w:val="24"/>
        </w:rPr>
        <w:t>实战派管理专家，兼具甲方高管、乙方咨询与创业操盘三重经验</w:t>
      </w:r>
    </w:p>
    <w:p w14:paraId="43BBEE8B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——从一线管理者（万科、润迅、鹏峰）到咨询公司合伙人（联纵智达），再到企业董事总经理（闪电体育），完整经历“管理-咨询-经营”闭环，深谙企业全价值链管理逻辑。</w:t>
      </w:r>
    </w:p>
    <w:p w14:paraId="43F1C6B0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——具备从战略规划、组织变革、流程优化到人才发展的系统性实战能力。</w:t>
      </w:r>
    </w:p>
    <w:p w14:paraId="5DBD22D6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ascii="宋体" w:hAnsi="宋体" w:eastAsia="宋体" w:cs="黑体"/>
          <w:b/>
          <w:bCs/>
          <w:color w:val="C00000"/>
          <w:sz w:val="24"/>
          <w:szCs w:val="24"/>
        </w:rPr>
        <w:t>2</w:t>
      </w:r>
      <w:r>
        <w:rPr>
          <w:rFonts w:hint="eastAsia" w:ascii="宋体" w:hAnsi="宋体" w:eastAsia="宋体" w:cs="黑体"/>
          <w:b/>
          <w:bCs/>
          <w:color w:val="C00000"/>
          <w:sz w:val="24"/>
          <w:szCs w:val="24"/>
        </w:rPr>
        <w:t>．</w:t>
      </w:r>
      <w:r>
        <w:rPr>
          <w:rFonts w:ascii="宋体" w:hAnsi="宋体" w:eastAsia="宋体" w:cs="黑体"/>
          <w:b/>
          <w:bCs/>
          <w:color w:val="C00000"/>
          <w:sz w:val="24"/>
          <w:szCs w:val="24"/>
        </w:rPr>
        <w:t>深度咨询项目经验，善用咨询思维赋能管理培训</w:t>
      </w:r>
    </w:p>
    <w:p w14:paraId="6C835C3E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主导完成12个以上全案咨询项目，涵盖战略定位、商业模式设计、管理体系升级、人力资源体系建设等，培训内容源于真实企业问题与解决方案。</w:t>
      </w:r>
    </w:p>
    <w:p w14:paraId="2C2D9165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擅长将咨询方法论转化为可落地的管理工具与培训内容，实现“培训即咨询，学习即赋能”。</w:t>
      </w:r>
    </w:p>
    <w:p w14:paraId="38208A66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ascii="宋体" w:hAnsi="宋体" w:eastAsia="宋体" w:cs="黑体"/>
          <w:b/>
          <w:bCs/>
          <w:color w:val="C00000"/>
          <w:sz w:val="24"/>
          <w:szCs w:val="24"/>
        </w:rPr>
        <w:t>3. 系统性版权课程体系+AI时代管理新赋能</w:t>
      </w:r>
    </w:p>
    <w:p w14:paraId="711B6FA4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拥有MTP/TWI全系列版权课程，覆盖从基层到高层的完整管理能力图谱。</w:t>
      </w:r>
    </w:p>
    <w:p w14:paraId="68379144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融合人工智能技术应用与思维导图等工具，提升管理者数字化思维与决策效率。</w:t>
      </w:r>
    </w:p>
    <w:p w14:paraId="243BEA55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ascii="宋体" w:hAnsi="宋体" w:eastAsia="宋体" w:cs="黑体"/>
          <w:b/>
          <w:bCs/>
          <w:color w:val="C00000"/>
          <w:sz w:val="24"/>
          <w:szCs w:val="24"/>
        </w:rPr>
        <w:t>4. 高返聘率见证实效，被誉为“企业身边的实战教练”</w:t>
      </w:r>
    </w:p>
    <w:p w14:paraId="5C4DAA78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企业返聘率超8</w:t>
      </w:r>
      <w:r>
        <w:rPr>
          <w:rFonts w:hint="eastAsia" w:ascii="宋体" w:hAnsi="宋体" w:eastAsia="宋体" w:cs="黑体"/>
          <w:bCs/>
          <w:sz w:val="24"/>
          <w:szCs w:val="24"/>
        </w:rPr>
        <w:t>0</w:t>
      </w:r>
      <w:r>
        <w:rPr>
          <w:rFonts w:ascii="宋体" w:hAnsi="宋体" w:eastAsia="宋体" w:cs="黑体"/>
          <w:bCs/>
          <w:sz w:val="24"/>
          <w:szCs w:val="24"/>
        </w:rPr>
        <w:t>%，多家企业连续合作3-8年，培训满意度持续保持97%以上。</w:t>
      </w:r>
    </w:p>
    <w:p w14:paraId="21D31C88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培训成果可直接转化为企业管理制度、流程优化与人才梯队建设。</w:t>
      </w:r>
    </w:p>
    <w:p w14:paraId="26A2D16C">
      <w:pPr>
        <w:spacing w:line="460" w:lineRule="exact"/>
        <w:rPr>
          <w:rFonts w:ascii="宋体" w:hAnsi="宋体" w:eastAsia="宋体" w:cs="黑体"/>
          <w:b/>
          <w:sz w:val="24"/>
          <w:szCs w:val="24"/>
        </w:rPr>
      </w:pPr>
    </w:p>
    <w:p w14:paraId="7DFFC0AC">
      <w:pPr>
        <w:spacing w:line="460" w:lineRule="exact"/>
        <w:rPr>
          <w:rFonts w:ascii="宋体" w:hAnsi="宋体" w:eastAsia="宋体" w:cs="黑体"/>
          <w:b/>
          <w:color w:val="000000"/>
          <w:sz w:val="24"/>
          <w:szCs w:val="24"/>
        </w:rPr>
      </w:pPr>
      <w:r>
        <w:rPr>
          <w:rFonts w:hint="eastAsia" w:ascii="宋体" w:hAnsi="宋体" w:eastAsia="宋体" w:cs="黑体"/>
          <w:b/>
          <w:color w:val="000000"/>
          <w:sz w:val="24"/>
          <w:szCs w:val="24"/>
        </w:rPr>
        <w:t>实战经验：</w:t>
      </w:r>
    </w:p>
    <w:p w14:paraId="323262A9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hint="eastAsia" w:ascii="宋体" w:hAnsi="宋体" w:eastAsia="宋体" w:cs="黑体"/>
          <w:b/>
          <w:color w:val="C00000"/>
          <w:sz w:val="24"/>
          <w:szCs w:val="24"/>
        </w:rPr>
        <w:t>【上海联纵智达管理咨询集团】</w:t>
      </w:r>
    </w:p>
    <w:p w14:paraId="77B331F1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01-</w:t>
      </w:r>
      <w:r>
        <w:rPr>
          <w:rFonts w:ascii="宋体" w:hAnsi="宋体" w:eastAsia="宋体" w:cs="黑体"/>
          <w:bCs/>
          <w:sz w:val="24"/>
          <w:szCs w:val="24"/>
        </w:rPr>
        <w:t>主导完成12个以上企业全案咨询项目，包括：</w:t>
      </w:r>
    </w:p>
    <w:p w14:paraId="67164C6B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传化股份：工业服务站商业模式设计与落地，助力企业完成服务化转型</w:t>
      </w:r>
    </w:p>
    <w:p w14:paraId="71BC8814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白象食品：集团战略重新定位、组织架构与核心流程全面梳理</w:t>
      </w:r>
    </w:p>
    <w:p w14:paraId="20BDB679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沈阳机床：规划UINS工业服务商体系，通过“战略+4S店模式+人力资源”三位一体咨询，实现商业模式落地与人才保障</w:t>
      </w:r>
    </w:p>
    <w:p w14:paraId="5C662766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怪兽饮料：撰写商业计划书，成功帮助企业获得2500万天使投资</w:t>
      </w:r>
    </w:p>
    <w:p w14:paraId="122B1DEE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五芳斋：战略定位与战略规划项目，助力老字号焕新发展</w:t>
      </w:r>
    </w:p>
    <w:p w14:paraId="4E670499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02-</w:t>
      </w:r>
      <w:r>
        <w:rPr>
          <w:rFonts w:ascii="宋体" w:hAnsi="宋体" w:eastAsia="宋体" w:cs="黑体"/>
          <w:bCs/>
          <w:sz w:val="24"/>
          <w:szCs w:val="24"/>
        </w:rPr>
        <w:t>累计为青岛海尔、</w:t>
      </w:r>
      <w:r>
        <w:rPr>
          <w:rFonts w:hint="eastAsia" w:ascii="宋体" w:hAnsi="宋体" w:eastAsia="宋体" w:cs="黑体"/>
          <w:bCs/>
          <w:sz w:val="24"/>
          <w:szCs w:val="24"/>
        </w:rPr>
        <w:t>美的股份、</w:t>
      </w:r>
      <w:r>
        <w:rPr>
          <w:rFonts w:ascii="宋体" w:hAnsi="宋体" w:eastAsia="宋体" w:cs="黑体"/>
          <w:bCs/>
          <w:sz w:val="24"/>
          <w:szCs w:val="24"/>
        </w:rPr>
        <w:t>中国中车、南方航空、方太集团</w:t>
      </w:r>
      <w:r>
        <w:rPr>
          <w:rFonts w:hint="eastAsia" w:ascii="宋体" w:hAnsi="宋体" w:eastAsia="宋体" w:cs="黑体"/>
          <w:bCs/>
          <w:sz w:val="24"/>
          <w:szCs w:val="24"/>
        </w:rPr>
        <w:t>、中国建筑、中国能建、国家电网、中国移动、中国电信、中国联通、招商银行、平安集团</w:t>
      </w:r>
      <w:r>
        <w:rPr>
          <w:rFonts w:ascii="宋体" w:hAnsi="宋体" w:eastAsia="宋体" w:cs="黑体"/>
          <w:bCs/>
          <w:sz w:val="24"/>
          <w:szCs w:val="24"/>
        </w:rPr>
        <w:t>等数百家企业提供培训与咨询，授课超1500场</w:t>
      </w:r>
    </w:p>
    <w:p w14:paraId="2747CFF6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hint="eastAsia" w:ascii="宋体" w:hAnsi="宋体" w:eastAsia="宋体" w:cs="黑体"/>
          <w:b/>
          <w:color w:val="C00000"/>
          <w:sz w:val="24"/>
          <w:szCs w:val="24"/>
        </w:rPr>
        <w:t>【深圳润迅通信集团】</w:t>
      </w:r>
    </w:p>
    <w:p w14:paraId="5A02148F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01-</w:t>
      </w:r>
      <w:r>
        <w:rPr>
          <w:rFonts w:ascii="宋体" w:hAnsi="宋体" w:eastAsia="宋体" w:cs="黑体"/>
          <w:bCs/>
          <w:sz w:val="24"/>
          <w:szCs w:val="24"/>
        </w:rPr>
        <w:t>在通讯与互联网技术剧变、集团历经数十次业务重组期间，不仅主导组织架构、人员配置与业务流程的整合优化，更前瞻性搭建了集团一体化培训与人才发展体系，为战略转型提供组织能力保障。</w:t>
      </w:r>
    </w:p>
    <w:p w14:paraId="75F65E04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02-</w:t>
      </w:r>
      <w:r>
        <w:rPr>
          <w:rFonts w:ascii="宋体" w:hAnsi="宋体" w:eastAsia="宋体" w:cs="黑体"/>
          <w:bCs/>
          <w:sz w:val="24"/>
          <w:szCs w:val="24"/>
        </w:rPr>
        <w:t>构建三级培训体系与内部讲师机制：</w:t>
      </w:r>
    </w:p>
    <w:p w14:paraId="71D213D3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建立覆盖基层、中层、高层的全员学习路径，并针对性开发营销、技术、财务、人力资源等专业课程体系，实现培训与业务需求紧密对接</w:t>
      </w:r>
    </w:p>
    <w:p w14:paraId="76F1736C">
      <w:pPr>
        <w:spacing w:line="460" w:lineRule="exact"/>
        <w:rPr>
          <w:rFonts w:hint="eastAsia"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推行内部培训师认证项目，系统培养内部兼职讲师超</w:t>
      </w:r>
      <w:r>
        <w:rPr>
          <w:rFonts w:hint="eastAsia" w:ascii="宋体" w:hAnsi="宋体" w:eastAsia="宋体" w:cs="黑体"/>
          <w:bCs/>
          <w:sz w:val="24"/>
          <w:szCs w:val="24"/>
        </w:rPr>
        <w:t>2</w:t>
      </w:r>
      <w:r>
        <w:rPr>
          <w:rFonts w:ascii="宋体" w:hAnsi="宋体" w:eastAsia="宋体" w:cs="黑体"/>
          <w:bCs/>
          <w:sz w:val="24"/>
          <w:szCs w:val="24"/>
        </w:rPr>
        <w:t>00人，实现知识内部沉淀与传承，大幅降低培训外包成本</w:t>
      </w:r>
    </w:p>
    <w:p w14:paraId="3867463E">
      <w:pPr>
        <w:spacing w:line="460" w:lineRule="exact"/>
        <w:rPr>
          <w:rFonts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高端人才发展与校企合作：</w:t>
      </w:r>
    </w:p>
    <w:p w14:paraId="14584B70">
      <w:pPr>
        <w:spacing w:line="460" w:lineRule="exact"/>
        <w:rPr>
          <w:rFonts w:hint="eastAsia"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与北京大学光华管理学院达成战略合作，连续三年开展高层领导力发展项目，累计培养200余名核心高管，提升集团战略视野与变革领导力</w:t>
      </w:r>
    </w:p>
    <w:p w14:paraId="7095F4FF">
      <w:pPr>
        <w:spacing w:line="460" w:lineRule="exact"/>
        <w:rPr>
          <w:rFonts w:hint="eastAsia"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03-</w:t>
      </w:r>
      <w:r>
        <w:rPr>
          <w:rFonts w:ascii="宋体" w:hAnsi="宋体" w:eastAsia="宋体" w:cs="黑体"/>
          <w:sz w:val="24"/>
          <w:szCs w:val="24"/>
        </w:rPr>
        <w:t>业务赋能与扭亏为盈：对长期亏损的数据业务进行经营模式改制，6个月内实现扭亏为盈，次年盈利突破900万元，成为集团业务重组中的标杆案例</w:t>
      </w:r>
    </w:p>
    <w:p w14:paraId="3E9F7CA4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hint="eastAsia" w:ascii="宋体" w:hAnsi="宋体" w:eastAsia="宋体" w:cs="黑体"/>
          <w:b/>
          <w:color w:val="C00000"/>
          <w:sz w:val="24"/>
          <w:szCs w:val="24"/>
        </w:rPr>
        <w:t>【深圳鹏峰汽车集团】</w:t>
      </w:r>
    </w:p>
    <w:p w14:paraId="71DAEF9D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ascii="宋体" w:hAnsi="宋体" w:eastAsia="宋体" w:cs="黑体"/>
          <w:bCs/>
          <w:sz w:val="24"/>
          <w:szCs w:val="24"/>
        </w:rPr>
        <w:t>在集团从6家子公司快速扩张至32家的关键时期，构建“人才供给+组织启动”双引擎支持系统：</w:t>
      </w:r>
    </w:p>
    <w:p w14:paraId="35AAEF0C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2年内内部提拔350名管理者，外部引进2800余名员工，并建立“新公司标准化启动流程”，确保所有新公司开业即高效运营、业绩行业领先。</w:t>
      </w:r>
    </w:p>
    <w:p w14:paraId="2B18DD41">
      <w:pPr>
        <w:spacing w:line="46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4"/>
          <w:szCs w:val="24"/>
        </w:rPr>
        <w:t>——</w:t>
      </w:r>
      <w:r>
        <w:rPr>
          <w:rFonts w:ascii="宋体" w:hAnsi="宋体" w:eastAsia="宋体" w:cs="黑体"/>
          <w:bCs/>
          <w:sz w:val="24"/>
          <w:szCs w:val="24"/>
        </w:rPr>
        <w:t>因贡献突出，一年内职务连升四级，成为集团发展史上的标杆人物</w:t>
      </w:r>
    </w:p>
    <w:p w14:paraId="55E8BFAC">
      <w:pPr>
        <w:spacing w:line="460" w:lineRule="exact"/>
        <w:rPr>
          <w:rFonts w:ascii="宋体" w:hAnsi="宋体" w:eastAsia="宋体" w:cs="黑体"/>
          <w:b/>
          <w:color w:val="C00000"/>
          <w:sz w:val="24"/>
          <w:szCs w:val="24"/>
        </w:rPr>
      </w:pPr>
      <w:r>
        <w:rPr>
          <w:rFonts w:hint="eastAsia" w:ascii="宋体" w:hAnsi="宋体" w:eastAsia="宋体" w:cs="黑体"/>
          <w:b/>
          <w:color w:val="C00000"/>
          <w:sz w:val="24"/>
          <w:szCs w:val="24"/>
        </w:rPr>
        <w:t>【</w:t>
      </w:r>
      <w:r>
        <w:rPr>
          <w:rFonts w:ascii="宋体" w:hAnsi="宋体" w:eastAsia="宋体" w:cs="黑体"/>
          <w:b/>
          <w:bCs/>
          <w:color w:val="C00000"/>
          <w:sz w:val="24"/>
          <w:szCs w:val="24"/>
        </w:rPr>
        <w:t>万科企业股份公司</w:t>
      </w:r>
      <w:r>
        <w:rPr>
          <w:rFonts w:hint="eastAsia" w:ascii="宋体" w:hAnsi="宋体" w:eastAsia="宋体" w:cs="黑体"/>
          <w:b/>
          <w:color w:val="C00000"/>
          <w:sz w:val="24"/>
          <w:szCs w:val="24"/>
        </w:rPr>
        <w:t>】</w:t>
      </w:r>
    </w:p>
    <w:p w14:paraId="727D41D2">
      <w:pPr>
        <w:spacing w:line="480" w:lineRule="exact"/>
        <w:rPr>
          <w:rFonts w:ascii="宋体" w:hAnsi="宋体" w:eastAsia="宋体" w:cs="黑体"/>
          <w:bCs/>
          <w:sz w:val="24"/>
          <w:szCs w:val="24"/>
        </w:rPr>
      </w:pPr>
      <w:r>
        <w:rPr>
          <w:rFonts w:ascii="宋体" w:hAnsi="宋体" w:eastAsia="宋体" w:cs="黑体"/>
          <w:bCs/>
          <w:sz w:val="24"/>
          <w:szCs w:val="24"/>
        </w:rPr>
        <w:t>搭建万科早期培训体系，建立《内部讲师管理制度》《新员工入职指导人制度》《岗位轮训规定》等系列制度，3年内培养近200名内部管理讲师</w:t>
      </w:r>
    </w:p>
    <w:p w14:paraId="0A0B1E5C">
      <w:pPr>
        <w:spacing w:line="480" w:lineRule="exact"/>
        <w:rPr>
          <w:rFonts w:hint="eastAsia" w:ascii="宋体" w:hAnsi="宋体" w:eastAsia="宋体"/>
          <w:b/>
          <w:sz w:val="24"/>
          <w:szCs w:val="24"/>
        </w:rPr>
      </w:pPr>
    </w:p>
    <w:p w14:paraId="2AF50F7D">
      <w:pPr>
        <w:spacing w:line="480" w:lineRule="exac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部分授课案例：</w:t>
      </w:r>
    </w:p>
    <w:p w14:paraId="7D7D7E92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中山大学《</w:t>
      </w:r>
      <w:r>
        <w:rPr>
          <w:rFonts w:ascii="宋体" w:hAnsi="宋体" w:eastAsia="宋体"/>
          <w:b/>
          <w:sz w:val="24"/>
          <w:szCs w:val="24"/>
        </w:rPr>
        <w:t>MDP管理新锐计划》系列培训项目</w:t>
      </w:r>
      <w:r>
        <w:rPr>
          <w:rFonts w:ascii="宋体" w:hAnsi="宋体" w:eastAsia="宋体"/>
          <w:sz w:val="24"/>
          <w:szCs w:val="24"/>
        </w:rPr>
        <w:t>，受邀为学员讲授《</w:t>
      </w:r>
      <w:r>
        <w:rPr>
          <w:rFonts w:hint="eastAsia" w:ascii="宋体" w:hAnsi="宋体" w:eastAsia="宋体"/>
          <w:sz w:val="24"/>
          <w:szCs w:val="24"/>
        </w:rPr>
        <w:t>卓越管理者“六力”修炼与实战</w:t>
      </w:r>
      <w:r>
        <w:rPr>
          <w:rFonts w:ascii="宋体" w:hAnsi="宋体" w:eastAsia="宋体"/>
          <w:sz w:val="24"/>
          <w:szCs w:val="24"/>
        </w:rPr>
        <w:t>》，作为该项目首期开班课程，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学员反馈表满意度高达9</w:t>
      </w:r>
      <w:r>
        <w:rPr>
          <w:rFonts w:ascii="宋体" w:hAnsi="宋体" w:eastAsia="宋体" w:cs="微软雅黑"/>
          <w:color w:val="C00000"/>
          <w:sz w:val="24"/>
          <w:szCs w:val="24"/>
        </w:rPr>
        <w:t>8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%，被持续返聘</w:t>
      </w:r>
      <w:r>
        <w:rPr>
          <w:rFonts w:ascii="宋体" w:hAnsi="宋体" w:eastAsia="宋体" w:cs="微软雅黑"/>
          <w:color w:val="C00000"/>
          <w:sz w:val="24"/>
          <w:szCs w:val="24"/>
        </w:rPr>
        <w:t>3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</w:rPr>
        <w:t>。</w:t>
      </w:r>
    </w:p>
    <w:p w14:paraId="45C99D65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中建五局、中建八局</w:t>
      </w:r>
      <w:r>
        <w:rPr>
          <w:rFonts w:hint="eastAsia" w:ascii="宋体" w:hAnsi="宋体" w:eastAsia="宋体"/>
          <w:sz w:val="24"/>
          <w:szCs w:val="24"/>
        </w:rPr>
        <w:t>讲授《M</w:t>
      </w:r>
      <w:r>
        <w:rPr>
          <w:rFonts w:ascii="宋体" w:hAnsi="宋体" w:eastAsia="宋体"/>
          <w:sz w:val="24"/>
          <w:szCs w:val="24"/>
        </w:rPr>
        <w:t>TP</w:t>
      </w:r>
      <w:r>
        <w:rPr>
          <w:rFonts w:hint="eastAsia" w:ascii="宋体" w:hAnsi="宋体" w:eastAsia="宋体"/>
          <w:sz w:val="24"/>
          <w:szCs w:val="24"/>
        </w:rPr>
        <w:t>中高层管理技能提升》、《卓越领导力提升》、《高成效的目标与计划管理》课程，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学员反馈满意度高达97%，</w:t>
      </w:r>
      <w:r>
        <w:rPr>
          <w:rFonts w:hint="eastAsia" w:ascii="宋体" w:hAnsi="宋体" w:eastAsia="宋体" w:cs="微软雅黑"/>
          <w:color w:val="000000"/>
          <w:sz w:val="24"/>
          <w:szCs w:val="24"/>
        </w:rPr>
        <w:t>被返聘</w:t>
      </w:r>
      <w:r>
        <w:rPr>
          <w:rFonts w:ascii="宋体" w:hAnsi="宋体" w:eastAsia="宋体"/>
          <w:color w:val="C00000"/>
          <w:sz w:val="24"/>
          <w:szCs w:val="24"/>
        </w:rPr>
        <w:t>6期</w:t>
      </w:r>
      <w:r>
        <w:rPr>
          <w:rFonts w:ascii="宋体" w:hAnsi="宋体" w:eastAsia="宋体"/>
          <w:sz w:val="24"/>
          <w:szCs w:val="24"/>
        </w:rPr>
        <w:t>。</w:t>
      </w:r>
    </w:p>
    <w:p w14:paraId="3539F28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青岛海尔集团</w:t>
      </w:r>
      <w:r>
        <w:rPr>
          <w:rFonts w:hint="eastAsia" w:ascii="宋体" w:hAnsi="宋体" w:eastAsia="宋体"/>
          <w:sz w:val="24"/>
          <w:szCs w:val="24"/>
        </w:rPr>
        <w:t>讲授《卓越领导力提升》、《高绩效团队建设与管理》、《高驱动授权与激励》课程，</w:t>
      </w:r>
      <w:r>
        <w:rPr>
          <w:rFonts w:hint="eastAsia" w:ascii="宋体" w:hAnsi="宋体" w:eastAsia="宋体" w:cs="黑体"/>
          <w:sz w:val="24"/>
          <w:szCs w:val="24"/>
        </w:rPr>
        <w:t>被集团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返聘3年，轮训15期。</w:t>
      </w:r>
    </w:p>
    <w:p w14:paraId="60C76E9C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宁波方太集团</w:t>
      </w:r>
      <w:r>
        <w:rPr>
          <w:rFonts w:hint="eastAsia" w:ascii="宋体" w:hAnsi="宋体" w:eastAsia="宋体"/>
          <w:sz w:val="24"/>
          <w:szCs w:val="24"/>
        </w:rPr>
        <w:t>讲授《引爆中坚力量——卓越管理者“六力”修炼》、《团队领导力》课程，连续返聘</w:t>
      </w:r>
      <w:r>
        <w:rPr>
          <w:rFonts w:ascii="宋体" w:hAnsi="宋体" w:eastAsia="宋体"/>
          <w:color w:val="C00000"/>
          <w:sz w:val="24"/>
          <w:szCs w:val="24"/>
        </w:rPr>
        <w:t>5</w:t>
      </w:r>
      <w:r>
        <w:rPr>
          <w:rFonts w:hint="eastAsia" w:ascii="宋体" w:hAnsi="宋体" w:eastAsia="宋体"/>
          <w:color w:val="C00000"/>
          <w:sz w:val="24"/>
          <w:szCs w:val="24"/>
        </w:rPr>
        <w:t>期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9238026">
      <w:pPr>
        <w:pStyle w:val="5"/>
        <w:widowControl/>
        <w:spacing w:before="0" w:beforeAutospacing="0" w:after="0" w:afterAutospacing="0" w:line="480" w:lineRule="exact"/>
        <w:rPr>
          <w:rFonts w:ascii="宋体" w:hAnsi="宋体" w:cs="微软雅黑"/>
          <w:bCs/>
          <w:kern w:val="24"/>
        </w:rPr>
      </w:pPr>
      <w:r>
        <w:rPr>
          <w:rFonts w:hint="eastAsia" w:ascii="宋体" w:hAnsi="宋体"/>
        </w:rPr>
        <w:t>——为</w:t>
      </w:r>
      <w:r>
        <w:rPr>
          <w:rFonts w:hint="eastAsia" w:ascii="宋体" w:hAnsi="宋体"/>
          <w:b/>
          <w:bCs/>
        </w:rPr>
        <w:t>青岛啤酒集团</w:t>
      </w:r>
      <w:r>
        <w:rPr>
          <w:rFonts w:hint="eastAsia" w:ascii="宋体" w:hAnsi="宋体" w:cs="微软雅黑"/>
          <w:kern w:val="24"/>
        </w:rPr>
        <w:t>做</w:t>
      </w:r>
      <w:r>
        <w:rPr>
          <w:rFonts w:hint="eastAsia" w:ascii="宋体" w:hAnsi="宋体" w:cs="微软雅黑"/>
          <w:bCs/>
          <w:kern w:val="24"/>
        </w:rPr>
        <w:t>《M</w:t>
      </w:r>
      <w:r>
        <w:rPr>
          <w:rFonts w:ascii="宋体" w:hAnsi="宋体" w:cs="微软雅黑"/>
          <w:bCs/>
          <w:kern w:val="24"/>
        </w:rPr>
        <w:t>TP</w:t>
      </w:r>
      <w:r>
        <w:rPr>
          <w:rFonts w:hint="eastAsia" w:ascii="宋体" w:hAnsi="宋体" w:cs="微软雅黑"/>
          <w:bCs/>
          <w:kern w:val="24"/>
        </w:rPr>
        <w:t>综合管理技能提升》</w:t>
      </w:r>
      <w:r>
        <w:rPr>
          <w:rFonts w:hint="eastAsia" w:ascii="宋体" w:hAnsi="宋体" w:cs="微软雅黑"/>
          <w:kern w:val="24"/>
        </w:rPr>
        <w:t>的培训，学员评分</w:t>
      </w:r>
      <w:r>
        <w:rPr>
          <w:rFonts w:ascii="宋体" w:hAnsi="宋体" w:cs="微软雅黑"/>
          <w:color w:val="C00000"/>
          <w:kern w:val="24"/>
        </w:rPr>
        <w:t>98</w:t>
      </w:r>
      <w:r>
        <w:rPr>
          <w:rFonts w:hint="eastAsia" w:ascii="宋体" w:hAnsi="宋体" w:cs="微软雅黑"/>
          <w:color w:val="C00000"/>
          <w:kern w:val="24"/>
        </w:rPr>
        <w:t>分</w:t>
      </w:r>
      <w:r>
        <w:rPr>
          <w:rFonts w:hint="eastAsia" w:ascii="宋体" w:hAnsi="宋体" w:cs="微软雅黑"/>
          <w:kern w:val="24"/>
        </w:rPr>
        <w:t>，连续</w:t>
      </w:r>
      <w:r>
        <w:rPr>
          <w:rFonts w:hint="eastAsia" w:ascii="宋体" w:hAnsi="宋体" w:cs="微软雅黑"/>
          <w:bCs/>
          <w:kern w:val="24"/>
        </w:rPr>
        <w:t>返聘</w:t>
      </w:r>
      <w:r>
        <w:rPr>
          <w:rFonts w:ascii="宋体" w:hAnsi="宋体" w:cs="微软雅黑"/>
          <w:bCs/>
          <w:color w:val="C00000"/>
          <w:kern w:val="24"/>
        </w:rPr>
        <w:t>6</w:t>
      </w:r>
      <w:r>
        <w:rPr>
          <w:rFonts w:hint="eastAsia" w:ascii="宋体" w:hAnsi="宋体" w:cs="微软雅黑"/>
          <w:bCs/>
          <w:color w:val="C00000"/>
          <w:kern w:val="24"/>
        </w:rPr>
        <w:t>期</w:t>
      </w:r>
      <w:r>
        <w:rPr>
          <w:rFonts w:hint="eastAsia" w:ascii="宋体" w:hAnsi="宋体" w:cs="微软雅黑"/>
          <w:bCs/>
          <w:kern w:val="24"/>
        </w:rPr>
        <w:t>。</w:t>
      </w:r>
    </w:p>
    <w:p w14:paraId="2A607A71">
      <w:pPr>
        <w:pStyle w:val="5"/>
        <w:widowControl/>
        <w:spacing w:before="0" w:beforeAutospacing="0" w:after="0" w:afterAutospacing="0" w:line="480" w:lineRule="exact"/>
        <w:rPr>
          <w:rFonts w:ascii="宋体" w:hAnsi="宋体" w:cs="微软雅黑"/>
          <w:b/>
          <w:kern w:val="24"/>
        </w:rPr>
      </w:pPr>
      <w:r>
        <w:rPr>
          <w:rFonts w:hint="eastAsia" w:ascii="宋体" w:hAnsi="宋体"/>
        </w:rPr>
        <w:t>——为</w:t>
      </w:r>
      <w:r>
        <w:rPr>
          <w:rFonts w:hint="eastAsia" w:ascii="宋体" w:hAnsi="宋体" w:cs="黑体"/>
          <w:b/>
          <w:bCs/>
        </w:rPr>
        <w:t>中国石油集团</w:t>
      </w:r>
      <w:r>
        <w:rPr>
          <w:rFonts w:hint="eastAsia" w:ascii="宋体" w:hAnsi="宋体" w:cs="微软雅黑"/>
          <w:kern w:val="24"/>
        </w:rPr>
        <w:t>讲授</w:t>
      </w:r>
      <w:r>
        <w:rPr>
          <w:rFonts w:hint="eastAsia" w:ascii="宋体" w:hAnsi="宋体" w:cs="微软雅黑"/>
          <w:bCs/>
          <w:kern w:val="24"/>
        </w:rPr>
        <w:t>《卓越领导力》、《卓越管理者“六力”修炼》</w:t>
      </w:r>
      <w:r>
        <w:rPr>
          <w:rFonts w:hint="eastAsia" w:ascii="宋体" w:hAnsi="宋体" w:cs="微软雅黑"/>
          <w:kern w:val="24"/>
        </w:rPr>
        <w:t>课程，被连续</w:t>
      </w:r>
      <w:r>
        <w:rPr>
          <w:rFonts w:hint="eastAsia" w:ascii="宋体" w:hAnsi="宋体" w:cs="微软雅黑"/>
          <w:bCs/>
          <w:kern w:val="24"/>
        </w:rPr>
        <w:t>返聘</w:t>
      </w:r>
      <w:r>
        <w:rPr>
          <w:rFonts w:ascii="宋体" w:hAnsi="宋体" w:cs="微软雅黑"/>
          <w:bCs/>
          <w:color w:val="C00000"/>
          <w:kern w:val="24"/>
        </w:rPr>
        <w:t>6</w:t>
      </w:r>
      <w:r>
        <w:rPr>
          <w:rFonts w:hint="eastAsia" w:ascii="宋体" w:hAnsi="宋体" w:cs="微软雅黑"/>
          <w:bCs/>
          <w:color w:val="C00000"/>
          <w:kern w:val="24"/>
        </w:rPr>
        <w:t>期</w:t>
      </w:r>
      <w:r>
        <w:rPr>
          <w:rFonts w:hint="eastAsia" w:ascii="宋体" w:hAnsi="宋体" w:cs="微软雅黑"/>
          <w:b/>
          <w:kern w:val="24"/>
        </w:rPr>
        <w:t>。</w:t>
      </w:r>
    </w:p>
    <w:p w14:paraId="0BA1D8D6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山西晋煤集团</w:t>
      </w:r>
      <w:r>
        <w:rPr>
          <w:rFonts w:hint="eastAsia" w:ascii="宋体" w:hAnsi="宋体" w:eastAsia="宋体"/>
          <w:sz w:val="24"/>
          <w:szCs w:val="24"/>
        </w:rPr>
        <w:t>讲授《高效团队建设与管理》课程，授课后该集团马上决定举办二期课程，后又被该集团下属各公司返聘</w:t>
      </w:r>
      <w:r>
        <w:rPr>
          <w:rFonts w:ascii="宋体" w:hAnsi="宋体" w:eastAsia="宋体"/>
          <w:color w:val="C00000"/>
          <w:sz w:val="24"/>
          <w:szCs w:val="24"/>
        </w:rPr>
        <w:t>6期</w:t>
      </w:r>
      <w:r>
        <w:rPr>
          <w:rFonts w:ascii="宋体" w:hAnsi="宋体" w:eastAsia="宋体"/>
          <w:sz w:val="24"/>
          <w:szCs w:val="24"/>
        </w:rPr>
        <w:t>。</w:t>
      </w:r>
    </w:p>
    <w:p w14:paraId="536FE25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山煤国际能源集团股份有限公司</w:t>
      </w:r>
      <w:r>
        <w:rPr>
          <w:rFonts w:hint="eastAsia" w:ascii="宋体" w:hAnsi="宋体" w:eastAsia="宋体"/>
          <w:sz w:val="24"/>
          <w:szCs w:val="24"/>
        </w:rPr>
        <w:t>讲授《高成效的目标计划管理》、《团队领导力》课程，连续返聘</w:t>
      </w:r>
      <w:r>
        <w:rPr>
          <w:rFonts w:hint="eastAsia" w:ascii="宋体" w:hAnsi="宋体" w:eastAsia="宋体"/>
          <w:color w:val="C00000"/>
          <w:sz w:val="24"/>
          <w:szCs w:val="24"/>
        </w:rPr>
        <w:t>8期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27F73111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sz w:val="24"/>
          <w:szCs w:val="24"/>
        </w:rPr>
        <w:t>——</w:t>
      </w:r>
      <w:r>
        <w:rPr>
          <w:rFonts w:hint="eastAsia" w:ascii="宋体" w:hAnsi="宋体" w:eastAsia="宋体" w:cs="黑体"/>
          <w:sz w:val="24"/>
          <w:szCs w:val="24"/>
        </w:rPr>
        <w:t>为</w:t>
      </w:r>
      <w:r>
        <w:rPr>
          <w:rFonts w:hint="eastAsia" w:ascii="宋体" w:hAnsi="宋体" w:eastAsia="宋体" w:cs="黑体"/>
          <w:b/>
          <w:bCs/>
          <w:sz w:val="24"/>
          <w:szCs w:val="24"/>
        </w:rPr>
        <w:t>山东中铝集团</w:t>
      </w:r>
      <w:r>
        <w:rPr>
          <w:rFonts w:hint="eastAsia" w:ascii="宋体" w:hAnsi="宋体" w:eastAsia="宋体" w:cs="黑体"/>
          <w:sz w:val="24"/>
          <w:szCs w:val="24"/>
        </w:rPr>
        <w:t>讲授《高成效目标与计划管理》，并连续被该集团返聘</w:t>
      </w:r>
      <w:r>
        <w:rPr>
          <w:rFonts w:ascii="宋体" w:hAnsi="宋体" w:eastAsia="宋体" w:cs="黑体"/>
          <w:color w:val="C00000"/>
          <w:sz w:val="24"/>
          <w:szCs w:val="24"/>
        </w:rPr>
        <w:t>6</w:t>
      </w:r>
      <w:r>
        <w:rPr>
          <w:rFonts w:hint="eastAsia" w:ascii="宋体" w:hAnsi="宋体" w:eastAsia="宋体" w:cs="黑体"/>
          <w:color w:val="C00000"/>
          <w:sz w:val="24"/>
          <w:szCs w:val="24"/>
        </w:rPr>
        <w:t>期</w:t>
      </w:r>
      <w:r>
        <w:rPr>
          <w:rFonts w:hint="eastAsia" w:ascii="宋体" w:hAnsi="宋体" w:eastAsia="宋体" w:cs="黑体"/>
          <w:sz w:val="24"/>
          <w:szCs w:val="24"/>
        </w:rPr>
        <w:t>。</w:t>
      </w:r>
    </w:p>
    <w:p w14:paraId="35D91889">
      <w:pPr>
        <w:pStyle w:val="5"/>
        <w:widowControl/>
        <w:spacing w:before="0" w:beforeAutospacing="0" w:after="0" w:afterAutospacing="0" w:line="480" w:lineRule="exact"/>
        <w:rPr>
          <w:rFonts w:ascii="宋体" w:hAnsi="宋体" w:cs="微软雅黑"/>
          <w:b/>
          <w:kern w:val="24"/>
        </w:rPr>
      </w:pPr>
      <w:r>
        <w:rPr>
          <w:rFonts w:hint="eastAsia" w:ascii="宋体" w:hAnsi="宋体"/>
        </w:rPr>
        <w:t>——为</w:t>
      </w:r>
      <w:r>
        <w:rPr>
          <w:rFonts w:hint="eastAsia" w:ascii="宋体" w:hAnsi="宋体" w:cs="黑体"/>
          <w:b/>
          <w:bCs/>
        </w:rPr>
        <w:t>南方航空股份</w:t>
      </w:r>
      <w:r>
        <w:rPr>
          <w:rFonts w:hint="eastAsia" w:ascii="宋体" w:hAnsi="宋体" w:cs="微软雅黑"/>
          <w:kern w:val="24"/>
        </w:rPr>
        <w:t>讲授</w:t>
      </w:r>
      <w:r>
        <w:rPr>
          <w:rFonts w:hint="eastAsia" w:ascii="宋体" w:hAnsi="宋体" w:cs="微软雅黑"/>
          <w:bCs/>
          <w:kern w:val="24"/>
        </w:rPr>
        <w:t>《卓越领导力》、《跨部门沟通与协作》</w:t>
      </w:r>
      <w:r>
        <w:rPr>
          <w:rFonts w:hint="eastAsia" w:ascii="宋体" w:hAnsi="宋体" w:cs="微软雅黑"/>
          <w:kern w:val="24"/>
        </w:rPr>
        <w:t>课程，学员反响热烈，被连续</w:t>
      </w:r>
      <w:r>
        <w:rPr>
          <w:rFonts w:hint="eastAsia" w:ascii="宋体" w:hAnsi="宋体" w:cs="微软雅黑"/>
          <w:bCs/>
          <w:kern w:val="24"/>
        </w:rPr>
        <w:t>返聘</w:t>
      </w:r>
      <w:r>
        <w:rPr>
          <w:rFonts w:hint="eastAsia" w:ascii="宋体" w:hAnsi="宋体" w:cs="微软雅黑"/>
          <w:bCs/>
          <w:color w:val="C00000"/>
          <w:kern w:val="24"/>
        </w:rPr>
        <w:t>4期</w:t>
      </w:r>
      <w:r>
        <w:rPr>
          <w:rFonts w:hint="eastAsia" w:ascii="宋体" w:hAnsi="宋体" w:cs="微软雅黑"/>
          <w:b/>
          <w:kern w:val="24"/>
        </w:rPr>
        <w:t>。</w:t>
      </w:r>
    </w:p>
    <w:p w14:paraId="3863880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/>
          <w:sz w:val="24"/>
          <w:szCs w:val="24"/>
        </w:rPr>
        <w:t>杭州传化股份集团</w:t>
      </w:r>
      <w:r>
        <w:rPr>
          <w:rFonts w:hint="eastAsia" w:ascii="宋体" w:hAnsi="宋体" w:eastAsia="宋体"/>
          <w:sz w:val="24"/>
          <w:szCs w:val="24"/>
        </w:rPr>
        <w:t>讲授《高定位管理角色认知》、《高成效目标计划管理》、《高落地执行力提升》、《高品质职场沟通与冲突处理》、《高产出部属培育与辅导》、《高驱动授权与激励》、《高绩效团队建设与管理》、《高成就卓越领导力提升》八大M</w:t>
      </w:r>
      <w:r>
        <w:rPr>
          <w:rFonts w:ascii="宋体" w:hAnsi="宋体" w:eastAsia="宋体"/>
          <w:sz w:val="24"/>
          <w:szCs w:val="24"/>
        </w:rPr>
        <w:t>TP</w:t>
      </w:r>
      <w:r>
        <w:rPr>
          <w:rFonts w:hint="eastAsia" w:ascii="宋体" w:hAnsi="宋体" w:eastAsia="宋体"/>
          <w:sz w:val="24"/>
          <w:szCs w:val="24"/>
        </w:rPr>
        <w:t>系列课程，深受公司及学员好评，上述每门课程连上</w:t>
      </w:r>
      <w:r>
        <w:rPr>
          <w:rFonts w:hint="eastAsia" w:ascii="宋体" w:hAnsi="宋体" w:eastAsia="宋体"/>
          <w:color w:val="C00000"/>
          <w:sz w:val="24"/>
          <w:szCs w:val="24"/>
        </w:rPr>
        <w:t>2</w:t>
      </w:r>
      <w:r>
        <w:rPr>
          <w:rFonts w:ascii="宋体" w:hAnsi="宋体" w:eastAsia="宋体"/>
          <w:color w:val="C00000"/>
          <w:sz w:val="24"/>
          <w:szCs w:val="24"/>
        </w:rPr>
        <w:t>期</w:t>
      </w:r>
      <w:r>
        <w:rPr>
          <w:rFonts w:ascii="宋体" w:hAnsi="宋体" w:eastAsia="宋体"/>
          <w:sz w:val="24"/>
          <w:szCs w:val="24"/>
        </w:rPr>
        <w:t>，共为该集团培训</w:t>
      </w:r>
      <w:r>
        <w:rPr>
          <w:rFonts w:ascii="宋体" w:hAnsi="宋体" w:eastAsia="宋体"/>
          <w:color w:val="C00000"/>
          <w:sz w:val="24"/>
          <w:szCs w:val="24"/>
        </w:rPr>
        <w:t>16期</w:t>
      </w:r>
      <w:r>
        <w:rPr>
          <w:rFonts w:ascii="宋体" w:hAnsi="宋体" w:eastAsia="宋体"/>
          <w:sz w:val="24"/>
          <w:szCs w:val="24"/>
        </w:rPr>
        <w:t>。</w:t>
      </w:r>
    </w:p>
    <w:p w14:paraId="41D5DDCC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sz w:val="24"/>
          <w:szCs w:val="24"/>
        </w:rPr>
        <w:t>——</w:t>
      </w:r>
      <w:r>
        <w:rPr>
          <w:rFonts w:hint="eastAsia" w:ascii="宋体" w:hAnsi="宋体" w:eastAsia="宋体" w:cs="黑体"/>
          <w:sz w:val="24"/>
          <w:szCs w:val="24"/>
        </w:rPr>
        <w:t>为</w:t>
      </w:r>
      <w:r>
        <w:rPr>
          <w:rFonts w:hint="eastAsia" w:ascii="宋体" w:hAnsi="宋体" w:eastAsia="宋体" w:cs="黑体"/>
          <w:b/>
          <w:bCs/>
          <w:sz w:val="24"/>
          <w:szCs w:val="24"/>
        </w:rPr>
        <w:t>东风南方汽车集团</w:t>
      </w:r>
      <w:r>
        <w:rPr>
          <w:rFonts w:hint="eastAsia" w:ascii="宋体" w:hAnsi="宋体" w:eastAsia="宋体" w:cs="黑体"/>
          <w:sz w:val="24"/>
          <w:szCs w:val="24"/>
        </w:rPr>
        <w:t>先后讲授《M</w:t>
      </w:r>
      <w:r>
        <w:rPr>
          <w:rFonts w:ascii="宋体" w:hAnsi="宋体" w:eastAsia="宋体" w:cs="黑体"/>
          <w:sz w:val="24"/>
          <w:szCs w:val="24"/>
        </w:rPr>
        <w:t>TP</w:t>
      </w:r>
      <w:r>
        <w:rPr>
          <w:rFonts w:hint="eastAsia" w:ascii="宋体" w:hAnsi="宋体" w:eastAsia="宋体" w:cs="黑体"/>
          <w:sz w:val="24"/>
          <w:szCs w:val="24"/>
        </w:rPr>
        <w:t>管理者核心技能提升》、《高绩效团队建设》、《目标管理与高效执行力》等课程，并连续被该集团返聘</w:t>
      </w:r>
      <w:r>
        <w:rPr>
          <w:rFonts w:ascii="宋体" w:hAnsi="宋体" w:eastAsia="宋体" w:cs="黑体"/>
          <w:color w:val="C00000"/>
          <w:sz w:val="24"/>
          <w:szCs w:val="24"/>
        </w:rPr>
        <w:t>8</w:t>
      </w:r>
      <w:r>
        <w:rPr>
          <w:rFonts w:hint="eastAsia" w:ascii="宋体" w:hAnsi="宋体" w:eastAsia="宋体" w:cs="黑体"/>
          <w:color w:val="C00000"/>
          <w:sz w:val="24"/>
          <w:szCs w:val="24"/>
        </w:rPr>
        <w:t>期</w:t>
      </w:r>
      <w:r>
        <w:rPr>
          <w:rFonts w:hint="eastAsia" w:ascii="宋体" w:hAnsi="宋体" w:eastAsia="宋体" w:cs="黑体"/>
          <w:sz w:val="24"/>
          <w:szCs w:val="24"/>
        </w:rPr>
        <w:t>，深得该集团信任与好评。</w:t>
      </w:r>
    </w:p>
    <w:p w14:paraId="48197EB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bookmarkStart w:id="1" w:name="_Hlk529287305"/>
      <w:r>
        <w:rPr>
          <w:rFonts w:hint="eastAsia" w:ascii="宋体" w:hAnsi="宋体" w:eastAsia="宋体"/>
          <w:b/>
          <w:sz w:val="24"/>
          <w:szCs w:val="24"/>
        </w:rPr>
        <w:t>青岛福日汽车集团</w:t>
      </w:r>
      <w:bookmarkEnd w:id="1"/>
      <w:r>
        <w:rPr>
          <w:rFonts w:hint="eastAsia" w:ascii="宋体" w:hAnsi="宋体" w:eastAsia="宋体"/>
          <w:sz w:val="24"/>
          <w:szCs w:val="24"/>
        </w:rPr>
        <w:t>讲授</w:t>
      </w:r>
      <w:r>
        <w:rPr>
          <w:rFonts w:hint="eastAsia" w:ascii="宋体" w:hAnsi="宋体" w:eastAsia="宋体" w:cs="微软雅黑"/>
          <w:sz w:val="24"/>
          <w:szCs w:val="24"/>
        </w:rPr>
        <w:t>《团队领导力》、《团队执行力》、《核心管理技能》等课程，</w:t>
      </w:r>
      <w:r>
        <w:rPr>
          <w:rFonts w:hint="eastAsia" w:ascii="宋体" w:hAnsi="宋体" w:eastAsia="宋体" w:cs="黑体"/>
          <w:sz w:val="24"/>
          <w:szCs w:val="24"/>
        </w:rPr>
        <w:t>并受邀为该集团进行管理体系的调整完善，帮助该集团全面升级了管理体系。被集团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返聘</w:t>
      </w:r>
      <w:r>
        <w:rPr>
          <w:rFonts w:ascii="宋体" w:hAnsi="宋体" w:eastAsia="宋体" w:cs="微软雅黑"/>
          <w:color w:val="C00000"/>
          <w:sz w:val="24"/>
          <w:szCs w:val="24"/>
        </w:rPr>
        <w:t>2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年，轮训</w:t>
      </w:r>
      <w:r>
        <w:rPr>
          <w:rFonts w:ascii="宋体" w:hAnsi="宋体" w:eastAsia="宋体" w:cs="微软雅黑"/>
          <w:color w:val="C00000"/>
          <w:sz w:val="24"/>
          <w:szCs w:val="24"/>
        </w:rPr>
        <w:t>10</w:t>
      </w:r>
      <w:r>
        <w:rPr>
          <w:rFonts w:hint="eastAsia" w:ascii="宋体" w:hAnsi="宋体" w:eastAsia="宋体" w:cs="微软雅黑"/>
          <w:color w:val="C00000"/>
          <w:sz w:val="24"/>
          <w:szCs w:val="24"/>
        </w:rPr>
        <w:t>期。</w:t>
      </w:r>
    </w:p>
    <w:p w14:paraId="0E656FB1">
      <w:pPr>
        <w:spacing w:line="480" w:lineRule="exact"/>
        <w:rPr>
          <w:rFonts w:ascii="宋体" w:hAnsi="宋体" w:eastAsia="宋体" w:cs="黑体"/>
          <w:b/>
          <w:sz w:val="24"/>
          <w:szCs w:val="24"/>
        </w:rPr>
      </w:pPr>
    </w:p>
    <w:p w14:paraId="260B6859">
      <w:pPr>
        <w:spacing w:line="480" w:lineRule="exact"/>
        <w:rPr>
          <w:rFonts w:ascii="宋体" w:hAnsi="宋体" w:eastAsia="宋体" w:cs="黑体"/>
          <w:b/>
          <w:bCs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主讲课程：</w:t>
      </w:r>
    </w:p>
    <w:p w14:paraId="1D20D477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《卓越密码：MTP管理者能力全景图》</w:t>
      </w:r>
    </w:p>
    <w:p w14:paraId="75384EDF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《闭环引擎：目标计划落地全流程管理》</w:t>
      </w:r>
    </w:p>
    <w:p w14:paraId="4C1A4BD1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《领导者之剑：结构化的问题分析与解决》</w:t>
      </w:r>
    </w:p>
    <w:p w14:paraId="6AF9E240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《共情破壁：高效职场沟通与冲突处理》</w:t>
      </w:r>
    </w:p>
    <w:p w14:paraId="4A2A1034">
      <w:pPr>
        <w:spacing w:line="480" w:lineRule="exact"/>
        <w:rPr>
          <w:rFonts w:hint="eastAsia"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《团队熔炼：高敏捷团队建设六维图谱》</w:t>
      </w:r>
    </w:p>
    <w:p w14:paraId="0DEE2E0E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《赋能领导：高驱动的授权与激励实战》</w:t>
      </w:r>
    </w:p>
    <w:p w14:paraId="50CF51B0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sz w:val="24"/>
          <w:szCs w:val="24"/>
        </w:rPr>
        <w:t>《从管理到引领：卓越领导力五维跃迁》</w:t>
      </w:r>
    </w:p>
    <w:p w14:paraId="40F024BB">
      <w:pPr>
        <w:pStyle w:val="5"/>
        <w:widowControl/>
        <w:spacing w:before="0" w:beforeAutospacing="0" w:after="0" w:afterAutospacing="0" w:line="480" w:lineRule="exact"/>
        <w:rPr>
          <w:rFonts w:ascii="宋体" w:hAnsi="宋体" w:cs="微软雅黑"/>
          <w:kern w:val="24"/>
        </w:rPr>
      </w:pPr>
      <w:r>
        <w:rPr>
          <w:rFonts w:hint="eastAsia" w:ascii="宋体" w:hAnsi="宋体" w:cs="微软雅黑"/>
          <w:kern w:val="24"/>
        </w:rPr>
        <w:t>《赋能成长：部属培育与教练式辅导》</w:t>
      </w:r>
    </w:p>
    <w:p w14:paraId="1056A945">
      <w:pPr>
        <w:pStyle w:val="5"/>
        <w:widowControl/>
        <w:spacing w:before="0" w:beforeAutospacing="0" w:after="0" w:afterAutospacing="0" w:line="480" w:lineRule="exact"/>
        <w:rPr>
          <w:rFonts w:hint="eastAsia" w:ascii="宋体" w:hAnsi="宋体" w:cs="微软雅黑"/>
          <w:b/>
          <w:kern w:val="24"/>
        </w:rPr>
      </w:pPr>
    </w:p>
    <w:p w14:paraId="33A5FD11">
      <w:pPr>
        <w:pStyle w:val="5"/>
        <w:widowControl/>
        <w:spacing w:before="0" w:beforeAutospacing="0" w:after="0" w:afterAutospacing="0" w:line="480" w:lineRule="exact"/>
        <w:rPr>
          <w:rFonts w:ascii="宋体" w:hAnsi="宋体" w:cs="微软雅黑"/>
          <w:b/>
          <w:kern w:val="24"/>
        </w:rPr>
      </w:pPr>
      <w:r>
        <w:rPr>
          <w:rFonts w:hint="eastAsia" w:ascii="宋体" w:hAnsi="宋体" w:cs="微软雅黑"/>
          <w:b/>
          <w:kern w:val="24"/>
        </w:rPr>
        <w:t>授课风格：</w:t>
      </w:r>
    </w:p>
    <w:p w14:paraId="1F4BD211">
      <w:pPr>
        <w:adjustRightInd w:val="0"/>
        <w:snapToGrid w:val="0"/>
        <w:spacing w:line="480" w:lineRule="exact"/>
        <w:rPr>
          <w:rFonts w:ascii="宋体" w:hAnsi="宋体" w:eastAsia="宋体" w:cs="微软雅黑"/>
          <w:sz w:val="24"/>
          <w:szCs w:val="24"/>
        </w:rPr>
      </w:pPr>
      <w:r>
        <w:rPr>
          <w:rFonts w:hint="eastAsia" w:ascii="宋体" w:hAnsi="宋体" w:eastAsia="宋体" w:cs="微软雅黑"/>
          <w:sz w:val="24"/>
          <w:szCs w:val="24"/>
        </w:rPr>
        <w:t>1．幽默、风趣、生动，饱含激情；</w:t>
      </w:r>
    </w:p>
    <w:p w14:paraId="75846146">
      <w:pPr>
        <w:adjustRightInd w:val="0"/>
        <w:snapToGrid w:val="0"/>
        <w:spacing w:line="480" w:lineRule="exact"/>
        <w:rPr>
          <w:rFonts w:ascii="宋体" w:hAnsi="宋体" w:eastAsia="宋体" w:cs="微软雅黑"/>
          <w:sz w:val="24"/>
          <w:szCs w:val="24"/>
        </w:rPr>
      </w:pPr>
      <w:r>
        <w:rPr>
          <w:rFonts w:ascii="宋体" w:hAnsi="宋体" w:eastAsia="宋体" w:cs="微软雅黑"/>
          <w:sz w:val="24"/>
          <w:szCs w:val="24"/>
        </w:rPr>
        <w:t>2</w:t>
      </w:r>
      <w:r>
        <w:rPr>
          <w:rFonts w:hint="eastAsia" w:ascii="宋体" w:hAnsi="宋体" w:eastAsia="宋体" w:cs="微软雅黑"/>
          <w:sz w:val="24"/>
          <w:szCs w:val="24"/>
        </w:rPr>
        <w:t>．运用多元化、体验式学习方式，互动性极强；</w:t>
      </w:r>
    </w:p>
    <w:p w14:paraId="67304622">
      <w:pPr>
        <w:adjustRightInd w:val="0"/>
        <w:snapToGrid w:val="0"/>
        <w:spacing w:line="480" w:lineRule="exact"/>
        <w:rPr>
          <w:rFonts w:ascii="宋体" w:hAnsi="宋体" w:eastAsia="宋体" w:cs="微软雅黑"/>
          <w:sz w:val="24"/>
          <w:szCs w:val="24"/>
        </w:rPr>
      </w:pPr>
      <w:r>
        <w:rPr>
          <w:rFonts w:ascii="宋体" w:hAnsi="宋体" w:eastAsia="宋体" w:cs="微软雅黑"/>
          <w:sz w:val="24"/>
          <w:szCs w:val="24"/>
        </w:rPr>
        <w:t>3</w:t>
      </w:r>
      <w:r>
        <w:rPr>
          <w:rFonts w:hint="eastAsia" w:ascii="宋体" w:hAnsi="宋体" w:eastAsia="宋体" w:cs="微软雅黑"/>
          <w:sz w:val="24"/>
          <w:szCs w:val="24"/>
        </w:rPr>
        <w:t>．课程体系完整、结构性强，内容环环相扣、层层推进，具极强逻辑性；</w:t>
      </w:r>
    </w:p>
    <w:p w14:paraId="3D8C530D">
      <w:pPr>
        <w:adjustRightInd w:val="0"/>
        <w:snapToGrid w:val="0"/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微软雅黑"/>
          <w:sz w:val="24"/>
          <w:szCs w:val="24"/>
        </w:rPr>
        <w:t>4</w:t>
      </w:r>
      <w:r>
        <w:rPr>
          <w:rFonts w:hint="eastAsia" w:ascii="宋体" w:hAnsi="宋体" w:eastAsia="宋体" w:cs="微软雅黑"/>
          <w:sz w:val="24"/>
          <w:szCs w:val="24"/>
        </w:rPr>
        <w:t>．</w:t>
      </w:r>
      <w:r>
        <w:rPr>
          <w:rFonts w:hint="eastAsia" w:ascii="宋体" w:hAnsi="宋体" w:eastAsia="宋体"/>
          <w:sz w:val="24"/>
          <w:szCs w:val="24"/>
        </w:rPr>
        <w:t>案例选取企业常见场景，且多为讲师多年亲身实践，有极强实战与针对性；</w:t>
      </w:r>
    </w:p>
    <w:p w14:paraId="031C9176">
      <w:pPr>
        <w:adjustRightInd w:val="0"/>
        <w:snapToGrid w:val="0"/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5．所授内容均形成落地实践工具，保证现场演练，现场转化，现场即出成果；</w:t>
      </w:r>
    </w:p>
    <w:p w14:paraId="6A444055">
      <w:pPr>
        <w:adjustRightInd w:val="0"/>
        <w:snapToGrid w:val="0"/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6．对学员课后持续性实践有清晰的指导标准与建议，帮助学员完成长期转化。</w:t>
      </w:r>
    </w:p>
    <w:p w14:paraId="75EFAA33">
      <w:pPr>
        <w:spacing w:line="480" w:lineRule="exact"/>
        <w:rPr>
          <w:rFonts w:ascii="宋体" w:hAnsi="宋体" w:eastAsia="宋体" w:cs="黑体"/>
          <w:b/>
          <w:sz w:val="24"/>
          <w:szCs w:val="24"/>
        </w:rPr>
      </w:pPr>
    </w:p>
    <w:p w14:paraId="355C8CBC">
      <w:pPr>
        <w:spacing w:line="480" w:lineRule="exact"/>
        <w:rPr>
          <w:rFonts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部分服务过的客户：</w:t>
      </w:r>
    </w:p>
    <w:p w14:paraId="1B5630C9">
      <w:pPr>
        <w:spacing w:line="480" w:lineRule="exact"/>
        <w:rPr>
          <w:rFonts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制造业：</w:t>
      </w:r>
      <w:r>
        <w:rPr>
          <w:rFonts w:hint="eastAsia" w:ascii="宋体" w:hAnsi="宋体" w:eastAsia="宋体" w:cs="黑体"/>
          <w:sz w:val="24"/>
          <w:szCs w:val="24"/>
        </w:rPr>
        <w:t>青岛海尔集团、中国中车集团、美的集团股份有限公司、宁波方太集团、沈阳机床集团、青岛啤酒集团、潍柴雷沃重工、北京三元股份、爱恩邦德（无锡）技术有限公司、广州立白集团、上海光明食品集团、韩国大宇造船、常州神力电机股份公司、大连中远海运川崎船舶有限公司、大连辽南船厂、杭州传化股份集团、河北宣化钢铁集团、三一重工集团、浙江新柴股份有限公司、中国电子科技集团公司第五十四研究所、江苏创斯达科技公司、广东东鹏控股股份公司、广州海鸥卫浴股份公司、福建九牧智能家居、浙江科翔壁纸、杭州友好净控、杭州立博橱柜、中山德立洁具、朗薇中山电器、上海龙胜管业、乐家卫浴上海分公司、成都百威凯诚科技、科顺防水股份有限公司、顺德德美化工、江苏盐电阀门、无锡三菱日机、成都乘风阀门有限公司、深圳创隆实业山东瑞邦自动化设备有限公司、焦作科瑞森重装股份有限公司、数码模冲压技术（武汉）有限公司、芜湖东旭光电科技有限公司、青岛特殊钢铁有限公司、天津钢管集团股份有限公司、山东鹏程陶瓷新材料科技有限公司、东莞长盈精密技术有限公司、中国储备粮管理集团广东公司、浙江常山恒寿堂、广东盛全健康食品、上海海通食品集团、上海明颂科技、上海柚香谷有限公司、河南匡威食品、青岛崂山矿泉水、陕西蓝海果业、福建闽江源绿田实业、福建李食记食品公司、重庆达沃斯食品、中粮油脂（重庆）有限公司、A</w:t>
      </w:r>
      <w:r>
        <w:rPr>
          <w:rFonts w:ascii="宋体" w:hAnsi="宋体" w:eastAsia="宋体" w:cs="黑体"/>
          <w:sz w:val="24"/>
          <w:szCs w:val="24"/>
        </w:rPr>
        <w:t>BB</w:t>
      </w:r>
      <w:r>
        <w:rPr>
          <w:rFonts w:hint="eastAsia" w:ascii="宋体" w:hAnsi="宋体" w:eastAsia="宋体" w:cs="黑体"/>
          <w:sz w:val="24"/>
          <w:szCs w:val="24"/>
        </w:rPr>
        <w:t>集团、吉利科技（重庆）有限公司、青岛福日集团、东方南方汽车集团、合裕汽车集团、山东远东实业集团、潍坊金力集团、石家庄市汽车修理厂（6</w:t>
      </w:r>
      <w:r>
        <w:rPr>
          <w:rFonts w:ascii="宋体" w:hAnsi="宋体" w:eastAsia="宋体" w:cs="黑体"/>
          <w:sz w:val="24"/>
          <w:szCs w:val="24"/>
        </w:rPr>
        <w:t>410</w:t>
      </w:r>
      <w:r>
        <w:rPr>
          <w:rFonts w:hint="eastAsia" w:ascii="宋体" w:hAnsi="宋体" w:eastAsia="宋体" w:cs="黑体"/>
          <w:sz w:val="24"/>
          <w:szCs w:val="24"/>
        </w:rPr>
        <w:t>）、菲格瑞特（苏州）汽车科技有限公司、中汽数据有限公司、重庆长安新能源汽车科技有限公司、东莞冠翔电机有限公司、福州光电子有限公司、中国电子科技集团公司第三十六研究所、湛江造船厂……</w:t>
      </w:r>
    </w:p>
    <w:p w14:paraId="5C7EB0B0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建筑/房地产：</w:t>
      </w:r>
      <w:r>
        <w:rPr>
          <w:rFonts w:hint="eastAsia" w:ascii="宋体" w:hAnsi="宋体" w:eastAsia="宋体" w:cs="黑体"/>
          <w:sz w:val="24"/>
          <w:szCs w:val="24"/>
        </w:rPr>
        <w:t>中建五局、中建八局、中建四局、鸿基地产、深圳市天健地产集团、中国能建集团广东火电工程公司、深圳建工集团、山西五岳集团、广州新世界地产、中建地产、广州越秀地产、中石化第十建设公司、青岛城建集团、中国电建中南公司、上海成港物业集团、上海华兴工程、成都城投土地整理开发有限公司、山西龙城发展投资集团、广东嘉粤集团、荣盛房地产蚌埠公司、河南亿祥置业、顺控集团、信阳新怡和控股集团、杭州恒宸建设集团、山西化建工程有限公司、中铁电化运营公司上海维管处、陕西雪山实业有限公司、芜湖天航集团有限公司、恒热投资控股有限公司、湖南第五建筑工程有限公司、西安沣东地产有限公司、中化学交通建设集团第二工程公司……</w:t>
      </w:r>
    </w:p>
    <w:p w14:paraId="0E17A42E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能源/电力：</w:t>
      </w:r>
      <w:r>
        <w:rPr>
          <w:rFonts w:hint="eastAsia" w:ascii="宋体" w:hAnsi="宋体" w:eastAsia="宋体" w:cs="黑体"/>
          <w:sz w:val="24"/>
          <w:szCs w:val="24"/>
        </w:rPr>
        <w:t>中国石油集团、中国华电集团、山西晋煤集团、</w:t>
      </w:r>
      <w:r>
        <w:rPr>
          <w:rFonts w:hint="eastAsia" w:ascii="宋体" w:hAnsi="宋体" w:eastAsia="宋体"/>
          <w:bCs/>
          <w:sz w:val="24"/>
          <w:szCs w:val="24"/>
        </w:rPr>
        <w:t>山煤国际能源集团股份有限公司、</w:t>
      </w:r>
      <w:r>
        <w:rPr>
          <w:rFonts w:hint="eastAsia" w:ascii="宋体" w:hAnsi="宋体" w:eastAsia="宋体" w:cs="黑体"/>
          <w:sz w:val="24"/>
          <w:szCs w:val="24"/>
        </w:rPr>
        <w:t>中国山东铝业集团、</w:t>
      </w:r>
      <w:r>
        <w:rPr>
          <w:rFonts w:hint="eastAsia" w:ascii="宋体" w:hAnsi="宋体" w:eastAsia="宋体"/>
          <w:sz w:val="24"/>
          <w:szCs w:val="24"/>
        </w:rPr>
        <w:t>南方电网、国家电网山东公司、国家电网青岛供电公司、国家电投广东电力有限公司、广东电网深圳供电局、广东电网汕头供电局、广东省能源集团、</w:t>
      </w:r>
      <w:r>
        <w:rPr>
          <w:rFonts w:hint="eastAsia" w:ascii="宋体" w:hAnsi="宋体" w:eastAsia="宋体" w:cs="黑体"/>
          <w:sz w:val="24"/>
          <w:szCs w:val="24"/>
        </w:rPr>
        <w:t>中国海油天津公司、天津神华煤炭、国网山西电力公司太原供电公司、国家电网白山供电公司、</w:t>
      </w:r>
      <w:r>
        <w:rPr>
          <w:rFonts w:hint="eastAsia" w:ascii="宋体" w:hAnsi="宋体" w:eastAsia="宋体"/>
          <w:sz w:val="24"/>
          <w:szCs w:val="24"/>
        </w:rPr>
        <w:t>中广核、</w:t>
      </w:r>
      <w:r>
        <w:rPr>
          <w:rFonts w:hint="eastAsia" w:ascii="宋体" w:hAnsi="宋体" w:eastAsia="宋体" w:cs="黑体"/>
          <w:sz w:val="24"/>
          <w:szCs w:val="24"/>
        </w:rPr>
        <w:t>平高电气、北京北控光伏、国投电力钦州发展公司、红海湾发电有限公司、深圳卓能新能源股份有限公司、甘肃陇西润通民生集团、甘肃临兆铝业、欧浦钢铁、浙江温岭绿色能源、山西鑫飞能源投资集团、曹妃甸港矿码头股份有限公司、山西安伦化工、山东本源环境科技、烟台绿环再生资源有限公司、沈阳浑南热力有限责任公司、青岛双瑞海洋环境工程股份有限公司、广东德赛矽镨技术有限公司、广州菲利斯太阳能科技有限公司、深圳未蓝新能源科技公司……</w:t>
      </w:r>
    </w:p>
    <w:p w14:paraId="4328B451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金融/通讯：</w:t>
      </w:r>
      <w:r>
        <w:rPr>
          <w:rFonts w:hint="eastAsia" w:ascii="宋体" w:hAnsi="宋体" w:eastAsia="宋体"/>
          <w:sz w:val="24"/>
          <w:szCs w:val="24"/>
        </w:rPr>
        <w:t>中国农业银行、中国建设银行、中国银行、招商银行、民生银行、</w:t>
      </w:r>
      <w:r>
        <w:rPr>
          <w:rFonts w:hint="eastAsia" w:ascii="宋体" w:hAnsi="宋体" w:eastAsia="宋体" w:cs="黑体"/>
          <w:sz w:val="24"/>
          <w:szCs w:val="24"/>
        </w:rPr>
        <w:t>中国联通无锡分公司、中国联通绍兴分公司、中国移动淄博公司、深圳中兴通讯股份公司、中国电信股份有限公司东营公司、中国电信集团宜宾分公司、长春市金融控股集团有限公司、兴业银行广州分行、江苏海安农商银行、四川泸州农商银行、浙江湖州农信银行、中国银联云计算中心、保定银行股份有限公司、平安惠普信息服务有限公司石家庄第一分公司、中银金融资产投资有限公司、南京苏宁云商、深圳英威腾电气股份有限公司、山东汉鑫科技股份、芜湖东旭光电科技有限公司……</w:t>
      </w:r>
    </w:p>
    <w:p w14:paraId="614A5E18">
      <w:pPr>
        <w:spacing w:line="480" w:lineRule="exact"/>
        <w:rPr>
          <w:rFonts w:ascii="宋体" w:hAnsi="宋体" w:eastAsia="宋体" w:cs="黑体"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医药/民生/烟草：</w:t>
      </w:r>
      <w:r>
        <w:rPr>
          <w:rFonts w:hint="eastAsia" w:ascii="宋体" w:hAnsi="宋体" w:eastAsia="宋体" w:cs="黑体"/>
          <w:sz w:val="24"/>
          <w:szCs w:val="24"/>
        </w:rPr>
        <w:t>广州医药集团、北京迪玛克医药科技有限公司、青岛双鲸药业、广东广州中烟公司、山东中烟青岛卷烟厂、安徽中烟、河北白沙烟草有限责任公司、上海陶朱生物科技、湖南九芝堂股份、北京熙朵医疗连锁、深圳水务集团公司、甘肃环县自来水集团、淄博归心谷产业园、北京凤山温泉度假村、顺德周大福、大连经济技术开发区人力资源代理服务公司、烟台开发区人力资源公司、福建傲农生物科技集团股份公司、江苏立华牧业股份有限公司、光明农牧集团、南京钮帮生物科技有限公司、青岛引黄济青水务集团有限公司、粤海梅州水务有限公司、广州市净水有限公司……</w:t>
      </w:r>
    </w:p>
    <w:p w14:paraId="39F521DC">
      <w:pPr>
        <w:spacing w:line="480" w:lineRule="exact"/>
        <w:rPr>
          <w:rFonts w:hint="eastAsia"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sz w:val="24"/>
          <w:szCs w:val="24"/>
        </w:rPr>
        <w:t>航空/交通/运输/其它：</w:t>
      </w:r>
      <w:r>
        <w:rPr>
          <w:rFonts w:hint="eastAsia" w:ascii="宋体" w:hAnsi="宋体" w:eastAsia="宋体" w:cs="黑体"/>
          <w:sz w:val="24"/>
          <w:szCs w:val="24"/>
        </w:rPr>
        <w:t>南方航空、湖南航空、北京首都机场、宁波机场、深圳机场、青岛机场、大广高速、山东高速、潍日高速、广东梅河高速公路有限公司、</w:t>
      </w:r>
      <w:r>
        <w:rPr>
          <w:rFonts w:hint="eastAsia" w:ascii="宋体" w:hAnsi="宋体" w:eastAsia="宋体" w:cs="黑体"/>
          <w:bCs/>
          <w:sz w:val="24"/>
          <w:szCs w:val="24"/>
        </w:rPr>
        <w:t>中国邮政日照公司、</w:t>
      </w:r>
      <w:r>
        <w:rPr>
          <w:rFonts w:hint="eastAsia" w:ascii="宋体" w:hAnsi="宋体" w:eastAsia="宋体" w:cs="黑体"/>
          <w:sz w:val="24"/>
          <w:szCs w:val="24"/>
        </w:rPr>
        <w:t>南京远方物流集团、山东水运发展集团、韶关粤运运输集团、重庆圆通快递有限公司、一汽（天津）物流有限公司、广州保事达物流有限公司、北京银山出租车公司、北部湾港股份有限公司、山东福特尔地毯、浙江报喜鸟服饰、盖璞（G</w:t>
      </w:r>
      <w:r>
        <w:rPr>
          <w:rFonts w:ascii="宋体" w:hAnsi="宋体" w:eastAsia="宋体" w:cs="黑体"/>
          <w:sz w:val="24"/>
          <w:szCs w:val="24"/>
        </w:rPr>
        <w:t>AP</w:t>
      </w:r>
      <w:r>
        <w:rPr>
          <w:rFonts w:hint="eastAsia" w:ascii="宋体" w:hAnsi="宋体" w:eastAsia="宋体" w:cs="黑体"/>
          <w:sz w:val="24"/>
          <w:szCs w:val="24"/>
        </w:rPr>
        <w:t>）上海商业有限公司、北京太平洋水泥制品有限公司、福建泉州美岭水泥有限公司、中国铁塔股份有限公司宿迁市分公司、中国铁塔股份有限公司甘肃分公司、深圳标准技术研究院、北京师范大学-香港浸会大学联合国际学院、山东瑞康安全评价有限公司、义务市交通旅游产业发展集团有限公司、广东交通投资集团有限公司、中国外运华中物流公司、佛山传媒集团……</w:t>
      </w:r>
    </w:p>
    <w:p w14:paraId="3C4B6EE6">
      <w:pPr>
        <w:spacing w:line="460" w:lineRule="exact"/>
        <w:rPr>
          <w:rFonts w:hint="eastAsia" w:ascii="宋体" w:hAnsi="宋体" w:eastAsia="宋体" w:cs="黑体"/>
          <w:b/>
          <w:sz w:val="24"/>
          <w:szCs w:val="24"/>
        </w:rPr>
      </w:pPr>
    </w:p>
    <w:p w14:paraId="03CF5871">
      <w:pPr>
        <w:spacing w:line="460" w:lineRule="exact"/>
        <w:rPr>
          <w:rFonts w:ascii="宋体" w:hAnsi="宋体" w:eastAsia="宋体" w:cs="黑体"/>
          <w:b/>
          <w:sz w:val="24"/>
          <w:szCs w:val="24"/>
        </w:rPr>
      </w:pPr>
      <w:r>
        <w:rPr>
          <w:rFonts w:hint="eastAsia" w:ascii="宋体" w:hAnsi="宋体" w:eastAsia="宋体" w:cs="黑体"/>
          <w:b/>
          <w:sz w:val="24"/>
          <w:szCs w:val="24"/>
        </w:rPr>
        <w:t>部分授课照片：</w:t>
      </w:r>
    </w:p>
    <w:tbl>
      <w:tblPr>
        <w:tblStyle w:val="6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4"/>
        <w:gridCol w:w="4871"/>
      </w:tblGrid>
      <w:tr w14:paraId="0D9C987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576A620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3520" cy="2019300"/>
                  <wp:effectExtent l="0" t="0" r="17780" b="0"/>
                  <wp:docPr id="3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52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67761A3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3520" cy="2019300"/>
                  <wp:effectExtent l="0" t="0" r="17780" b="0"/>
                  <wp:docPr id="4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52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ADDE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126DB63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北大燕园</w:t>
            </w:r>
            <w:r>
              <w:rPr>
                <w:rFonts w:ascii="宋体" w:hAnsi="宋体" w:eastAsia="宋体"/>
                <w:bCs/>
                <w:szCs w:val="21"/>
                <w:lang/>
              </w:rPr>
              <w:t>CCEP</w:t>
            </w:r>
            <w:r>
              <w:rPr>
                <w:rFonts w:hint="eastAsia" w:ascii="宋体" w:hAnsi="宋体" w:eastAsia="宋体"/>
                <w:bCs/>
                <w:szCs w:val="21"/>
                <w:lang/>
              </w:rPr>
              <w:t>临沂班</w:t>
            </w:r>
            <w:r>
              <w:rPr>
                <w:rFonts w:ascii="宋体" w:hAnsi="宋体" w:eastAsia="宋体"/>
                <w:bCs/>
                <w:szCs w:val="21"/>
                <w:lang/>
              </w:rPr>
              <w:t>1</w:t>
            </w:r>
            <w:r>
              <w:rPr>
                <w:rFonts w:hint="eastAsia" w:ascii="宋体" w:hAnsi="宋体" w:eastAsia="宋体"/>
                <w:bCs/>
                <w:szCs w:val="21"/>
                <w:lang/>
              </w:rPr>
              <w:t>期</w:t>
            </w:r>
          </w:p>
          <w:p w14:paraId="0D7F365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《管理者卓越领导力提升》</w:t>
            </w:r>
          </w:p>
        </w:tc>
        <w:tc>
          <w:tcPr>
            <w:tcW w:w="4871" w:type="dxa"/>
            <w:noWrap w:val="0"/>
            <w:vAlign w:val="center"/>
          </w:tcPr>
          <w:p w14:paraId="6EC9A91A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北大燕园</w:t>
            </w:r>
            <w:r>
              <w:rPr>
                <w:rFonts w:ascii="宋体" w:hAnsi="宋体" w:eastAsia="宋体"/>
                <w:bCs/>
                <w:szCs w:val="21"/>
                <w:lang/>
              </w:rPr>
              <w:t>CCEP</w:t>
            </w:r>
            <w:r>
              <w:rPr>
                <w:rFonts w:hint="eastAsia" w:ascii="宋体" w:hAnsi="宋体" w:eastAsia="宋体"/>
                <w:bCs/>
                <w:szCs w:val="21"/>
                <w:lang/>
              </w:rPr>
              <w:t>临沂班2期</w:t>
            </w:r>
          </w:p>
          <w:p w14:paraId="55CFE50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《管理者卓越领导力提升》</w:t>
            </w:r>
          </w:p>
        </w:tc>
      </w:tr>
      <w:tr w14:paraId="5B07756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4AA95F4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55900" cy="2016125"/>
                  <wp:effectExtent l="0" t="0" r="6350" b="3175"/>
                  <wp:docPr id="5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5249FFD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9300"/>
                  <wp:effectExtent l="0" t="0" r="0" b="0"/>
                  <wp:docPr id="6" name="图片 4" descr="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3F30D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1C361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中大</w:t>
            </w:r>
            <w:r>
              <w:rPr>
                <w:rFonts w:ascii="宋体" w:hAnsi="宋体" w:eastAsia="宋体"/>
                <w:szCs w:val="21"/>
              </w:rPr>
              <w:t>MDP</w:t>
            </w:r>
          </w:p>
          <w:p w14:paraId="46A69CF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《卓越管理者“六力”修炼》</w:t>
            </w:r>
          </w:p>
        </w:tc>
        <w:tc>
          <w:tcPr>
            <w:tcW w:w="4871" w:type="dxa"/>
            <w:noWrap w:val="0"/>
            <w:vAlign w:val="center"/>
          </w:tcPr>
          <w:p w14:paraId="4652226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中建五局</w:t>
            </w:r>
          </w:p>
          <w:p w14:paraId="449DEBA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《M</w:t>
            </w:r>
            <w:r>
              <w:rPr>
                <w:rFonts w:ascii="宋体" w:hAnsi="宋体" w:eastAsia="宋体"/>
                <w:szCs w:val="21"/>
              </w:rPr>
              <w:t>TP</w:t>
            </w:r>
            <w:r>
              <w:rPr>
                <w:rFonts w:hint="eastAsia" w:ascii="宋体" w:hAnsi="宋体" w:eastAsia="宋体"/>
                <w:szCs w:val="21"/>
              </w:rPr>
              <w:t>管理技能提升》</w:t>
            </w:r>
          </w:p>
        </w:tc>
      </w:tr>
      <w:tr w14:paraId="163F81B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5AF42F9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48915" cy="2021840"/>
                  <wp:effectExtent l="0" t="0" r="13335" b="16510"/>
                  <wp:docPr id="7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915" cy="20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6725282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20570"/>
                  <wp:effectExtent l="0" t="0" r="0" b="17780"/>
                  <wp:docPr id="8" name="图片 6" descr="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17A8C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5EE1307B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方太集团</w:t>
            </w:r>
          </w:p>
          <w:p w14:paraId="790584F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《M</w:t>
            </w:r>
            <w:r>
              <w:rPr>
                <w:rFonts w:ascii="宋体" w:hAnsi="宋体" w:eastAsia="宋体"/>
                <w:szCs w:val="21"/>
              </w:rPr>
              <w:t>TP</w:t>
            </w:r>
            <w:r>
              <w:rPr>
                <w:rFonts w:hint="eastAsia" w:ascii="宋体" w:hAnsi="宋体" w:eastAsia="宋体"/>
                <w:szCs w:val="21"/>
              </w:rPr>
              <w:t>管理技能提升》</w:t>
            </w:r>
          </w:p>
        </w:tc>
        <w:tc>
          <w:tcPr>
            <w:tcW w:w="4871" w:type="dxa"/>
            <w:noWrap w:val="0"/>
            <w:vAlign w:val="center"/>
          </w:tcPr>
          <w:p w14:paraId="0EB56E4D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中建八局</w:t>
            </w:r>
          </w:p>
          <w:p w14:paraId="71541FF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《M</w:t>
            </w:r>
            <w:r>
              <w:rPr>
                <w:rFonts w:ascii="宋体" w:hAnsi="宋体" w:eastAsia="宋体"/>
                <w:szCs w:val="21"/>
              </w:rPr>
              <w:t>TP</w:t>
            </w:r>
            <w:r>
              <w:rPr>
                <w:rFonts w:hint="eastAsia" w:ascii="宋体" w:hAnsi="宋体" w:eastAsia="宋体"/>
                <w:szCs w:val="21"/>
              </w:rPr>
              <w:t>管理技能提升》</w:t>
            </w:r>
          </w:p>
        </w:tc>
      </w:tr>
      <w:tr w14:paraId="0EF4131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177D4B2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9300"/>
                  <wp:effectExtent l="0" t="0" r="0" b="0"/>
                  <wp:docPr id="9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1DF73F9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5490"/>
                  <wp:effectExtent l="0" t="0" r="0" b="3810"/>
                  <wp:docPr id="10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5F0B2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2902939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青岛啤酒</w:t>
            </w:r>
          </w:p>
          <w:p w14:paraId="3DBC50F0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《M</w:t>
            </w:r>
            <w:r>
              <w:rPr>
                <w:rFonts w:ascii="宋体" w:hAnsi="宋体" w:eastAsia="宋体"/>
                <w:szCs w:val="21"/>
              </w:rPr>
              <w:t>TP</w:t>
            </w:r>
            <w:r>
              <w:rPr>
                <w:rFonts w:hint="eastAsia" w:ascii="宋体" w:hAnsi="宋体" w:eastAsia="宋体"/>
                <w:szCs w:val="21"/>
              </w:rPr>
              <w:t>管理技能提升》</w:t>
            </w:r>
          </w:p>
        </w:tc>
        <w:tc>
          <w:tcPr>
            <w:tcW w:w="4871" w:type="dxa"/>
            <w:noWrap w:val="0"/>
            <w:vAlign w:val="center"/>
          </w:tcPr>
          <w:p w14:paraId="1BD1EDE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长安新能源</w:t>
            </w:r>
          </w:p>
          <w:p w14:paraId="6442DDE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《新晋管理者核心技能提升》</w:t>
            </w:r>
          </w:p>
        </w:tc>
      </w:tr>
      <w:tr w14:paraId="485465E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3C8523B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21840"/>
                  <wp:effectExtent l="0" t="0" r="0" b="16510"/>
                  <wp:docPr id="11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1A85A8A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9300"/>
                  <wp:effectExtent l="0" t="0" r="0" b="0"/>
                  <wp:docPr id="12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58243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D834CFB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中国银联</w:t>
            </w:r>
          </w:p>
          <w:p w14:paraId="4D0E426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《M</w:t>
            </w:r>
            <w:r>
              <w:rPr>
                <w:rFonts w:ascii="宋体" w:hAnsi="宋体" w:eastAsia="宋体"/>
                <w:bCs/>
                <w:szCs w:val="21"/>
                <w:lang/>
              </w:rPr>
              <w:t>TP</w:t>
            </w:r>
            <w:r>
              <w:rPr>
                <w:rFonts w:hint="eastAsia" w:ascii="宋体" w:hAnsi="宋体" w:eastAsia="宋体"/>
                <w:bCs/>
                <w:szCs w:val="21"/>
                <w:lang/>
              </w:rPr>
              <w:t>中层管理技能提升》</w:t>
            </w:r>
          </w:p>
        </w:tc>
        <w:tc>
          <w:tcPr>
            <w:tcW w:w="4871" w:type="dxa"/>
            <w:noWrap w:val="0"/>
            <w:vAlign w:val="center"/>
          </w:tcPr>
          <w:p w14:paraId="5C375A1A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三元食品股份</w:t>
            </w:r>
          </w:p>
          <w:p w14:paraId="0B0D589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《M</w:t>
            </w:r>
            <w:r>
              <w:rPr>
                <w:rFonts w:ascii="宋体" w:hAnsi="宋体" w:eastAsia="宋体"/>
                <w:szCs w:val="21"/>
              </w:rPr>
              <w:t>TP</w:t>
            </w:r>
            <w:r>
              <w:rPr>
                <w:rFonts w:hint="eastAsia" w:ascii="宋体" w:hAnsi="宋体" w:eastAsia="宋体"/>
                <w:szCs w:val="21"/>
              </w:rPr>
              <w:t>中高层管理技能提升》</w:t>
            </w:r>
          </w:p>
        </w:tc>
      </w:tr>
      <w:tr w14:paraId="3939F29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3850FB7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" name="图片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9"/>
                          <pic:cNvPicPr>
                            <a:picLocks noRo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0760915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3520" cy="2019300"/>
                  <wp:effectExtent l="0" t="0" r="17780" b="0"/>
                  <wp:docPr id="13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52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3CAC3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AEB608C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汉鑫科技</w:t>
            </w:r>
          </w:p>
          <w:p w14:paraId="6BAE349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《M</w:t>
            </w:r>
            <w:r>
              <w:rPr>
                <w:rFonts w:ascii="宋体" w:hAnsi="宋体" w:eastAsia="宋体"/>
                <w:bCs/>
                <w:szCs w:val="21"/>
                <w:lang/>
              </w:rPr>
              <w:t>TP</w:t>
            </w:r>
            <w:r>
              <w:rPr>
                <w:rFonts w:hint="eastAsia" w:ascii="宋体" w:hAnsi="宋体" w:eastAsia="宋体"/>
                <w:bCs/>
                <w:szCs w:val="21"/>
                <w:lang/>
              </w:rPr>
              <w:t>核心管理技能提升》</w:t>
            </w:r>
          </w:p>
        </w:tc>
        <w:tc>
          <w:tcPr>
            <w:tcW w:w="4871" w:type="dxa"/>
            <w:noWrap w:val="0"/>
            <w:vAlign w:val="center"/>
          </w:tcPr>
          <w:p w14:paraId="2019DD2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南京远方物流集团</w:t>
            </w:r>
          </w:p>
          <w:p w14:paraId="3BA5E3F0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《核心管理技能提升》</w:t>
            </w:r>
          </w:p>
        </w:tc>
      </w:tr>
      <w:tr w14:paraId="47ACF7C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4BCA226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5490"/>
                  <wp:effectExtent l="0" t="0" r="0" b="3810"/>
                  <wp:docPr id="14" name="图片 13" descr="8aa78c9ae6dfac473ead604f0f52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8aa78c9ae6dfac473ead604f0f522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10210C1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21840"/>
                  <wp:effectExtent l="0" t="0" r="0" b="16510"/>
                  <wp:docPr id="15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92F38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3CD0E20E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中化学交通建设集团</w:t>
            </w:r>
          </w:p>
          <w:p w14:paraId="4A79C7D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《高绩效团队建设与管理》</w:t>
            </w:r>
          </w:p>
        </w:tc>
        <w:tc>
          <w:tcPr>
            <w:tcW w:w="4871" w:type="dxa"/>
            <w:noWrap w:val="0"/>
            <w:vAlign w:val="center"/>
          </w:tcPr>
          <w:p w14:paraId="49506C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山西化建工程</w:t>
            </w:r>
          </w:p>
          <w:p w14:paraId="2AAB9B0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《高绩效团队建设与管理》</w:t>
            </w:r>
          </w:p>
        </w:tc>
      </w:tr>
      <w:tr w14:paraId="67B1D09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4ADA542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7395"/>
                  <wp:effectExtent l="0" t="0" r="0" b="1905"/>
                  <wp:docPr id="16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440CDC7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20570"/>
                  <wp:effectExtent l="0" t="0" r="0" b="17780"/>
                  <wp:docPr id="17" name="图片 16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 descr="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C5105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D0E1BF6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新柴股份</w:t>
            </w:r>
          </w:p>
          <w:p w14:paraId="3614B5B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《高绩效团队建设与管理》</w:t>
            </w:r>
          </w:p>
        </w:tc>
        <w:tc>
          <w:tcPr>
            <w:tcW w:w="4871" w:type="dxa"/>
            <w:noWrap w:val="0"/>
            <w:vAlign w:val="center"/>
          </w:tcPr>
          <w:p w14:paraId="78B7FDA2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江门A</w:t>
            </w:r>
            <w:r>
              <w:rPr>
                <w:rFonts w:ascii="宋体" w:hAnsi="宋体" w:eastAsia="宋体"/>
                <w:bCs/>
                <w:szCs w:val="21"/>
                <w:lang/>
              </w:rPr>
              <w:t>BB</w:t>
            </w:r>
            <w:r>
              <w:rPr>
                <w:rFonts w:hint="eastAsia" w:ascii="宋体" w:hAnsi="宋体" w:eastAsia="宋体"/>
                <w:bCs/>
                <w:szCs w:val="21"/>
                <w:lang/>
              </w:rPr>
              <w:t>集团</w:t>
            </w:r>
          </w:p>
          <w:p w14:paraId="784F7EC8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《高绩效团队建设与管理》</w:t>
            </w:r>
          </w:p>
        </w:tc>
      </w:tr>
      <w:tr w14:paraId="6302AF6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1F6D67C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  <w:lang/>
              </w:rPr>
              <w:drawing>
                <wp:inline distT="0" distB="0" distL="114300" distR="114300">
                  <wp:extent cx="2761615" cy="2018665"/>
                  <wp:effectExtent l="0" t="0" r="635" b="635"/>
                  <wp:docPr id="18" name="图片 8" descr="D:\百家\培训现场\广东中烟\缩小\微信图片_201810292348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8" descr="D:\百家\培训现场\广东中烟\缩小\微信图片_20181029234858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0A13F15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56535" cy="2023745"/>
                  <wp:effectExtent l="0" t="0" r="5715" b="14605"/>
                  <wp:docPr id="19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535" cy="202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5E82B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3C17846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广东中烟</w:t>
            </w:r>
          </w:p>
          <w:p w14:paraId="0B513FC2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《从技术走向管理》</w:t>
            </w:r>
          </w:p>
        </w:tc>
        <w:tc>
          <w:tcPr>
            <w:tcW w:w="4871" w:type="dxa"/>
            <w:noWrap w:val="0"/>
            <w:vAlign w:val="center"/>
          </w:tcPr>
          <w:p w14:paraId="2E208D9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中核工程咨询</w:t>
            </w:r>
          </w:p>
          <w:p w14:paraId="36B882B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《从技术走向管理》</w:t>
            </w:r>
          </w:p>
        </w:tc>
      </w:tr>
      <w:tr w14:paraId="0788241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17D0C0A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55265" cy="2015490"/>
                  <wp:effectExtent l="0" t="0" r="6985" b="3810"/>
                  <wp:docPr id="20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265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18709BD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  <w:lang/>
              </w:rPr>
              <w:drawing>
                <wp:inline distT="0" distB="0" distL="114300" distR="114300">
                  <wp:extent cx="2760980" cy="2018665"/>
                  <wp:effectExtent l="0" t="0" r="1270" b="635"/>
                  <wp:docPr id="21" name="图片 3" descr="D:\百家\培训现场\9月9日科顺防水\缩小\小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3" descr="D:\百家\培训现场\9月9日科顺防水\缩小\小2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6EF6D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2808881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联美控股环保集团</w:t>
            </w:r>
          </w:p>
          <w:p w14:paraId="080A88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《从技术走向管理》</w:t>
            </w:r>
          </w:p>
        </w:tc>
        <w:tc>
          <w:tcPr>
            <w:tcW w:w="4871" w:type="dxa"/>
            <w:noWrap w:val="0"/>
            <w:vAlign w:val="center"/>
          </w:tcPr>
          <w:p w14:paraId="0A3F233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科顺集团</w:t>
            </w:r>
          </w:p>
          <w:p w14:paraId="3ADBC5C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《从技术走向管理》</w:t>
            </w:r>
          </w:p>
        </w:tc>
      </w:tr>
      <w:tr w14:paraId="15791C5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1E9202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  <w:lang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2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3F40F33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74950" cy="2078990"/>
                  <wp:effectExtent l="0" t="0" r="6350" b="16510"/>
                  <wp:docPr id="2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72FE2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49B8648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中国能建广东公司</w:t>
            </w:r>
          </w:p>
          <w:p w14:paraId="753BAC4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《高成效的目标计划管理》</w:t>
            </w:r>
          </w:p>
        </w:tc>
        <w:tc>
          <w:tcPr>
            <w:tcW w:w="4871" w:type="dxa"/>
            <w:noWrap w:val="0"/>
            <w:vAlign w:val="center"/>
          </w:tcPr>
          <w:p w14:paraId="6C25959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中海油集团装备技术公司</w:t>
            </w:r>
          </w:p>
          <w:p w14:paraId="3BCD9D6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《高成效的目标计划管理》</w:t>
            </w:r>
          </w:p>
        </w:tc>
      </w:tr>
      <w:tr w14:paraId="4CE12B1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30F3250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6060" cy="2017395"/>
                  <wp:effectExtent l="0" t="0" r="15240" b="1905"/>
                  <wp:docPr id="24" name="图片 23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 descr="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0824193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  <w:lang/>
              </w:rPr>
              <w:drawing>
                <wp:inline distT="0" distB="0" distL="114300" distR="114300">
                  <wp:extent cx="2762885" cy="2019300"/>
                  <wp:effectExtent l="0" t="0" r="18415" b="0"/>
                  <wp:docPr id="25" name="图片 5" descr="D:\百家\培训现场\9月25日兴业银行\缩小\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5" descr="D:\百家\培训现场\9月25日兴业银行\缩小\小.jpg"/>
                          <pic:cNvPicPr/>
                        </pic:nvPicPr>
                        <pic:blipFill>
                          <a:blip r:embed="rId28"/>
                          <a:srcRect t="-3899" r="7268" b="3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05178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2F2008D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中铝集团山东</w:t>
            </w:r>
          </w:p>
          <w:p w14:paraId="5479D5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《高成效的目标计划管理》</w:t>
            </w:r>
          </w:p>
        </w:tc>
        <w:tc>
          <w:tcPr>
            <w:tcW w:w="4871" w:type="dxa"/>
            <w:noWrap w:val="0"/>
            <w:vAlign w:val="center"/>
          </w:tcPr>
          <w:p w14:paraId="502AFEF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广州兴业银行</w:t>
            </w:r>
          </w:p>
          <w:p w14:paraId="1EAA8FA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《高成效的目标计划管理》</w:t>
            </w:r>
          </w:p>
        </w:tc>
      </w:tr>
      <w:tr w14:paraId="2491948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0EC1DE7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0345" cy="2018665"/>
                  <wp:effectExtent l="0" t="0" r="1905" b="635"/>
                  <wp:docPr id="26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34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7C769F9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8665"/>
                  <wp:effectExtent l="0" t="0" r="0" b="635"/>
                  <wp:docPr id="27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E8CA6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1E2CB3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山煤国际煤业临汾站</w:t>
            </w:r>
          </w:p>
          <w:p w14:paraId="58446670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《高成效的目标与计划管理》</w:t>
            </w:r>
          </w:p>
        </w:tc>
        <w:tc>
          <w:tcPr>
            <w:tcW w:w="4871" w:type="dxa"/>
            <w:noWrap w:val="0"/>
            <w:vAlign w:val="center"/>
          </w:tcPr>
          <w:p w14:paraId="2DD099CC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szCs w:val="21"/>
                <w:lang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山煤国际煤业长治站</w:t>
            </w:r>
          </w:p>
          <w:p w14:paraId="06CED3B0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  <w:lang/>
              </w:rPr>
              <w:t>《高成效的目标与计划管理》</w:t>
            </w:r>
          </w:p>
        </w:tc>
      </w:tr>
      <w:tr w14:paraId="16D23D4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3CBB278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57170" cy="2016125"/>
                  <wp:effectExtent l="0" t="0" r="5080" b="3175"/>
                  <wp:docPr id="28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170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71F1170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1615" cy="2016125"/>
                  <wp:effectExtent l="0" t="0" r="635" b="3175"/>
                  <wp:docPr id="29" name="图片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D5A33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47B8152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芜湖天航集团</w:t>
            </w:r>
          </w:p>
          <w:p w14:paraId="5AAB798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《高产出的部属培育辅导》</w:t>
            </w:r>
          </w:p>
        </w:tc>
        <w:tc>
          <w:tcPr>
            <w:tcW w:w="4871" w:type="dxa"/>
            <w:noWrap w:val="0"/>
            <w:vAlign w:val="center"/>
          </w:tcPr>
          <w:p w14:paraId="0005584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青岛双瑞海洋工程股份</w:t>
            </w:r>
          </w:p>
          <w:p w14:paraId="61B4271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《高产出的部属培育辅导》</w:t>
            </w:r>
          </w:p>
        </w:tc>
      </w:tr>
      <w:tr w14:paraId="470844F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4B42C14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1615" cy="2016125"/>
                  <wp:effectExtent l="0" t="0" r="635" b="3175"/>
                  <wp:docPr id="30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52B94B6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20570"/>
                  <wp:effectExtent l="0" t="0" r="0" b="17780"/>
                  <wp:docPr id="31" name="图片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4CF9F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2781DBE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无锡联通</w:t>
            </w:r>
          </w:p>
          <w:p w14:paraId="12624A9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《高情商职场沟通》</w:t>
            </w:r>
          </w:p>
        </w:tc>
        <w:tc>
          <w:tcPr>
            <w:tcW w:w="4871" w:type="dxa"/>
            <w:noWrap w:val="0"/>
            <w:vAlign w:val="center"/>
          </w:tcPr>
          <w:p w14:paraId="0ECA34E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东风南方汽车集团</w:t>
            </w:r>
          </w:p>
          <w:p w14:paraId="116F282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《目标管理与高效执行力》</w:t>
            </w:r>
          </w:p>
        </w:tc>
      </w:tr>
      <w:tr w14:paraId="2D9237A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2AA289A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5490"/>
                  <wp:effectExtent l="0" t="0" r="0" b="3810"/>
                  <wp:docPr id="32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316D446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  <w:lang/>
              </w:rPr>
              <w:drawing>
                <wp:inline distT="0" distB="0" distL="114300" distR="114300">
                  <wp:extent cx="2762885" cy="2018030"/>
                  <wp:effectExtent l="0" t="0" r="18415" b="1270"/>
                  <wp:docPr id="33" name="图片 9" descr="D:\百家\培训现场\英威特\缩小\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9" descr="D:\百家\培训现场\英威特\缩小\1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20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6AB93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5A7848F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黑体"/>
                <w:szCs w:val="21"/>
              </w:rPr>
            </w:pPr>
            <w:r>
              <w:rPr>
                <w:rFonts w:hint="eastAsia" w:ascii="宋体" w:hAnsi="宋体" w:eastAsia="宋体" w:cs="黑体"/>
                <w:szCs w:val="21"/>
              </w:rPr>
              <w:t>东营电信</w:t>
            </w:r>
          </w:p>
          <w:p w14:paraId="59135F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《跨部门沟通与冲突处理》</w:t>
            </w:r>
          </w:p>
        </w:tc>
        <w:tc>
          <w:tcPr>
            <w:tcW w:w="4871" w:type="dxa"/>
            <w:noWrap w:val="0"/>
            <w:vAlign w:val="center"/>
          </w:tcPr>
          <w:p w14:paraId="7B5108A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黑体"/>
                <w:szCs w:val="21"/>
              </w:rPr>
            </w:pPr>
            <w:r>
              <w:rPr>
                <w:rFonts w:hint="eastAsia" w:ascii="宋体" w:hAnsi="宋体" w:eastAsia="宋体" w:cs="黑体"/>
                <w:szCs w:val="21"/>
              </w:rPr>
              <w:t>深圳英威腾集团</w:t>
            </w:r>
          </w:p>
          <w:p w14:paraId="7C3927B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Cs w:val="21"/>
              </w:rPr>
              <w:t>《以结果为导向的执行力》</w:t>
            </w:r>
          </w:p>
        </w:tc>
      </w:tr>
      <w:tr w14:paraId="12B0DED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1680D1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18030"/>
                  <wp:effectExtent l="0" t="0" r="0" b="1270"/>
                  <wp:docPr id="34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noWrap w:val="0"/>
            <w:vAlign w:val="center"/>
          </w:tcPr>
          <w:p w14:paraId="5B3B61C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inline distT="0" distB="0" distL="114300" distR="114300">
                  <wp:extent cx="2762250" cy="2021840"/>
                  <wp:effectExtent l="0" t="0" r="0" b="16510"/>
                  <wp:docPr id="35" name="图片 34" descr="平安普惠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 descr="平安普惠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6A36F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jc w:val="center"/>
        </w:trPr>
        <w:tc>
          <w:tcPr>
            <w:tcW w:w="4874" w:type="dxa"/>
            <w:noWrap w:val="0"/>
            <w:vAlign w:val="center"/>
          </w:tcPr>
          <w:p w14:paraId="7D04CF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深圳卓能集团</w:t>
            </w:r>
          </w:p>
          <w:p w14:paraId="19B1AF2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《高驱动的授权技巧》</w:t>
            </w:r>
          </w:p>
        </w:tc>
        <w:tc>
          <w:tcPr>
            <w:tcW w:w="4871" w:type="dxa"/>
            <w:noWrap w:val="0"/>
            <w:vAlign w:val="center"/>
          </w:tcPr>
          <w:p w14:paraId="2BD161EB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平安普惠金融</w:t>
            </w:r>
          </w:p>
          <w:p w14:paraId="6BDC42D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《高驱动的授权激励技巧》</w:t>
            </w:r>
          </w:p>
        </w:tc>
      </w:tr>
    </w:tbl>
    <w:p w14:paraId="798943D9">
      <w:pPr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movePersonalInformation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DF"/>
    <w:rsid w:val="00007226"/>
    <w:rsid w:val="00010D41"/>
    <w:rsid w:val="00012944"/>
    <w:rsid w:val="00022097"/>
    <w:rsid w:val="00024352"/>
    <w:rsid w:val="00025197"/>
    <w:rsid w:val="00027675"/>
    <w:rsid w:val="0002776F"/>
    <w:rsid w:val="0003135C"/>
    <w:rsid w:val="000321EF"/>
    <w:rsid w:val="000429A8"/>
    <w:rsid w:val="000454EE"/>
    <w:rsid w:val="00046C40"/>
    <w:rsid w:val="00046F4A"/>
    <w:rsid w:val="00055F69"/>
    <w:rsid w:val="00056127"/>
    <w:rsid w:val="000601C6"/>
    <w:rsid w:val="00061A5C"/>
    <w:rsid w:val="000626D6"/>
    <w:rsid w:val="000630FE"/>
    <w:rsid w:val="000634D1"/>
    <w:rsid w:val="00064B93"/>
    <w:rsid w:val="00067A58"/>
    <w:rsid w:val="000708DB"/>
    <w:rsid w:val="00071F6D"/>
    <w:rsid w:val="00073231"/>
    <w:rsid w:val="0007514B"/>
    <w:rsid w:val="00081366"/>
    <w:rsid w:val="00081BD5"/>
    <w:rsid w:val="00090307"/>
    <w:rsid w:val="0009168B"/>
    <w:rsid w:val="0009188D"/>
    <w:rsid w:val="000954B5"/>
    <w:rsid w:val="0009658E"/>
    <w:rsid w:val="000A14AB"/>
    <w:rsid w:val="000A21C7"/>
    <w:rsid w:val="000A26E8"/>
    <w:rsid w:val="000A7BAF"/>
    <w:rsid w:val="000B3687"/>
    <w:rsid w:val="000B5309"/>
    <w:rsid w:val="000C762A"/>
    <w:rsid w:val="000C77CA"/>
    <w:rsid w:val="000D01F6"/>
    <w:rsid w:val="000D26A5"/>
    <w:rsid w:val="000D26D9"/>
    <w:rsid w:val="000D621A"/>
    <w:rsid w:val="000D73C8"/>
    <w:rsid w:val="000E3D62"/>
    <w:rsid w:val="000E46EC"/>
    <w:rsid w:val="000E7D69"/>
    <w:rsid w:val="000F2207"/>
    <w:rsid w:val="000F2F37"/>
    <w:rsid w:val="000F7A62"/>
    <w:rsid w:val="00101BE5"/>
    <w:rsid w:val="00102478"/>
    <w:rsid w:val="001024DD"/>
    <w:rsid w:val="00104F32"/>
    <w:rsid w:val="0010533B"/>
    <w:rsid w:val="00110EC1"/>
    <w:rsid w:val="001179D6"/>
    <w:rsid w:val="001268E0"/>
    <w:rsid w:val="00130160"/>
    <w:rsid w:val="001304B3"/>
    <w:rsid w:val="001358A1"/>
    <w:rsid w:val="00136C9B"/>
    <w:rsid w:val="001452F6"/>
    <w:rsid w:val="00146F43"/>
    <w:rsid w:val="00147079"/>
    <w:rsid w:val="00150EEB"/>
    <w:rsid w:val="00152125"/>
    <w:rsid w:val="00160043"/>
    <w:rsid w:val="001613ED"/>
    <w:rsid w:val="001617D6"/>
    <w:rsid w:val="0017120E"/>
    <w:rsid w:val="0017575B"/>
    <w:rsid w:val="00175C1E"/>
    <w:rsid w:val="001763B8"/>
    <w:rsid w:val="00177FB4"/>
    <w:rsid w:val="001807B2"/>
    <w:rsid w:val="00180E13"/>
    <w:rsid w:val="0018476A"/>
    <w:rsid w:val="00185386"/>
    <w:rsid w:val="00190510"/>
    <w:rsid w:val="001912EA"/>
    <w:rsid w:val="00194F8A"/>
    <w:rsid w:val="001A53A7"/>
    <w:rsid w:val="001A5722"/>
    <w:rsid w:val="001B00F5"/>
    <w:rsid w:val="001B014C"/>
    <w:rsid w:val="001B159F"/>
    <w:rsid w:val="001B5E9E"/>
    <w:rsid w:val="001B6EBD"/>
    <w:rsid w:val="001C2CFB"/>
    <w:rsid w:val="001D5259"/>
    <w:rsid w:val="001E0FA2"/>
    <w:rsid w:val="001E2066"/>
    <w:rsid w:val="001E67C8"/>
    <w:rsid w:val="001E7743"/>
    <w:rsid w:val="001F217B"/>
    <w:rsid w:val="001F4E64"/>
    <w:rsid w:val="001F6470"/>
    <w:rsid w:val="00200E1D"/>
    <w:rsid w:val="00203A33"/>
    <w:rsid w:val="00213352"/>
    <w:rsid w:val="00214DD7"/>
    <w:rsid w:val="002155CD"/>
    <w:rsid w:val="00216102"/>
    <w:rsid w:val="002218F5"/>
    <w:rsid w:val="00223BD9"/>
    <w:rsid w:val="00231252"/>
    <w:rsid w:val="00232175"/>
    <w:rsid w:val="002333F6"/>
    <w:rsid w:val="00235476"/>
    <w:rsid w:val="00240F31"/>
    <w:rsid w:val="00241EB3"/>
    <w:rsid w:val="00244C65"/>
    <w:rsid w:val="00247461"/>
    <w:rsid w:val="002520D7"/>
    <w:rsid w:val="0025518F"/>
    <w:rsid w:val="002565DE"/>
    <w:rsid w:val="00256C40"/>
    <w:rsid w:val="00261F07"/>
    <w:rsid w:val="0026294B"/>
    <w:rsid w:val="00263AF4"/>
    <w:rsid w:val="00265E95"/>
    <w:rsid w:val="00267E13"/>
    <w:rsid w:val="0028072B"/>
    <w:rsid w:val="00286578"/>
    <w:rsid w:val="00293F0C"/>
    <w:rsid w:val="002A0E01"/>
    <w:rsid w:val="002A2D8E"/>
    <w:rsid w:val="002A3B1F"/>
    <w:rsid w:val="002A52E2"/>
    <w:rsid w:val="002A77CE"/>
    <w:rsid w:val="002A7B6A"/>
    <w:rsid w:val="002C5234"/>
    <w:rsid w:val="002C5E9D"/>
    <w:rsid w:val="002C702C"/>
    <w:rsid w:val="002C7FA7"/>
    <w:rsid w:val="002D3FD9"/>
    <w:rsid w:val="002D6ABA"/>
    <w:rsid w:val="002D6AE3"/>
    <w:rsid w:val="002E0FE2"/>
    <w:rsid w:val="002E4638"/>
    <w:rsid w:val="002E48F9"/>
    <w:rsid w:val="002E50EA"/>
    <w:rsid w:val="002E77B9"/>
    <w:rsid w:val="002E7CED"/>
    <w:rsid w:val="002F2155"/>
    <w:rsid w:val="002F2BFC"/>
    <w:rsid w:val="002F791A"/>
    <w:rsid w:val="00300CC1"/>
    <w:rsid w:val="00303914"/>
    <w:rsid w:val="003052A1"/>
    <w:rsid w:val="00313986"/>
    <w:rsid w:val="00317C7B"/>
    <w:rsid w:val="00321859"/>
    <w:rsid w:val="00321881"/>
    <w:rsid w:val="00324AF2"/>
    <w:rsid w:val="00342BAA"/>
    <w:rsid w:val="003504B8"/>
    <w:rsid w:val="00350DA7"/>
    <w:rsid w:val="0035203B"/>
    <w:rsid w:val="00354714"/>
    <w:rsid w:val="00357BC5"/>
    <w:rsid w:val="00377136"/>
    <w:rsid w:val="00377CD0"/>
    <w:rsid w:val="0038037D"/>
    <w:rsid w:val="00380C7B"/>
    <w:rsid w:val="0038296B"/>
    <w:rsid w:val="003844C9"/>
    <w:rsid w:val="00384A52"/>
    <w:rsid w:val="00386583"/>
    <w:rsid w:val="00392E1D"/>
    <w:rsid w:val="00392FD5"/>
    <w:rsid w:val="00393AA6"/>
    <w:rsid w:val="00394640"/>
    <w:rsid w:val="003A18A0"/>
    <w:rsid w:val="003B0C16"/>
    <w:rsid w:val="003C2272"/>
    <w:rsid w:val="003C5D96"/>
    <w:rsid w:val="003C7917"/>
    <w:rsid w:val="003D401D"/>
    <w:rsid w:val="003E1DF5"/>
    <w:rsid w:val="003F040E"/>
    <w:rsid w:val="0040302F"/>
    <w:rsid w:val="00403652"/>
    <w:rsid w:val="00403715"/>
    <w:rsid w:val="00404C5F"/>
    <w:rsid w:val="00410694"/>
    <w:rsid w:val="004145C6"/>
    <w:rsid w:val="004362CE"/>
    <w:rsid w:val="00436447"/>
    <w:rsid w:val="004378AA"/>
    <w:rsid w:val="00441FE4"/>
    <w:rsid w:val="00444F56"/>
    <w:rsid w:val="00446DC9"/>
    <w:rsid w:val="004665DF"/>
    <w:rsid w:val="00467BF2"/>
    <w:rsid w:val="00473877"/>
    <w:rsid w:val="00473DBB"/>
    <w:rsid w:val="00477A4C"/>
    <w:rsid w:val="00477C4D"/>
    <w:rsid w:val="004802E5"/>
    <w:rsid w:val="004808A2"/>
    <w:rsid w:val="00486D21"/>
    <w:rsid w:val="00487158"/>
    <w:rsid w:val="0048773A"/>
    <w:rsid w:val="004879B4"/>
    <w:rsid w:val="00492596"/>
    <w:rsid w:val="00497795"/>
    <w:rsid w:val="004A2BCD"/>
    <w:rsid w:val="004A56FD"/>
    <w:rsid w:val="004A5F77"/>
    <w:rsid w:val="004B1549"/>
    <w:rsid w:val="004B5A16"/>
    <w:rsid w:val="004B63B7"/>
    <w:rsid w:val="004C0327"/>
    <w:rsid w:val="004C16C8"/>
    <w:rsid w:val="004C3044"/>
    <w:rsid w:val="004D4547"/>
    <w:rsid w:val="004E0329"/>
    <w:rsid w:val="004E36FB"/>
    <w:rsid w:val="004E5FD7"/>
    <w:rsid w:val="004E7C4B"/>
    <w:rsid w:val="004F62F5"/>
    <w:rsid w:val="00500619"/>
    <w:rsid w:val="00503A28"/>
    <w:rsid w:val="00504F5A"/>
    <w:rsid w:val="00520720"/>
    <w:rsid w:val="00523C2B"/>
    <w:rsid w:val="0053037C"/>
    <w:rsid w:val="00537C24"/>
    <w:rsid w:val="00545A6E"/>
    <w:rsid w:val="00547C2B"/>
    <w:rsid w:val="0055432C"/>
    <w:rsid w:val="00554CD8"/>
    <w:rsid w:val="00555BC9"/>
    <w:rsid w:val="00557A6B"/>
    <w:rsid w:val="00562D97"/>
    <w:rsid w:val="00562F31"/>
    <w:rsid w:val="005636A0"/>
    <w:rsid w:val="00566C24"/>
    <w:rsid w:val="00571A29"/>
    <w:rsid w:val="00572FE5"/>
    <w:rsid w:val="0058083C"/>
    <w:rsid w:val="0058159C"/>
    <w:rsid w:val="00581D30"/>
    <w:rsid w:val="00585EF9"/>
    <w:rsid w:val="00586312"/>
    <w:rsid w:val="00595135"/>
    <w:rsid w:val="005961F9"/>
    <w:rsid w:val="00596E40"/>
    <w:rsid w:val="00597C17"/>
    <w:rsid w:val="005A4EA4"/>
    <w:rsid w:val="005A61A1"/>
    <w:rsid w:val="005B0EE7"/>
    <w:rsid w:val="005C0115"/>
    <w:rsid w:val="005C1812"/>
    <w:rsid w:val="005D5C6D"/>
    <w:rsid w:val="005E3B5B"/>
    <w:rsid w:val="005E485D"/>
    <w:rsid w:val="005E5061"/>
    <w:rsid w:val="005F432C"/>
    <w:rsid w:val="00600167"/>
    <w:rsid w:val="00601712"/>
    <w:rsid w:val="006065A1"/>
    <w:rsid w:val="00610512"/>
    <w:rsid w:val="00611302"/>
    <w:rsid w:val="00613176"/>
    <w:rsid w:val="00613595"/>
    <w:rsid w:val="006162D9"/>
    <w:rsid w:val="00620476"/>
    <w:rsid w:val="00625526"/>
    <w:rsid w:val="00633F98"/>
    <w:rsid w:val="00641938"/>
    <w:rsid w:val="00645654"/>
    <w:rsid w:val="00652CF7"/>
    <w:rsid w:val="00654EC1"/>
    <w:rsid w:val="006572F3"/>
    <w:rsid w:val="0066022A"/>
    <w:rsid w:val="00661755"/>
    <w:rsid w:val="00662734"/>
    <w:rsid w:val="0066479D"/>
    <w:rsid w:val="00671105"/>
    <w:rsid w:val="00674627"/>
    <w:rsid w:val="006768CB"/>
    <w:rsid w:val="00681175"/>
    <w:rsid w:val="00682F3D"/>
    <w:rsid w:val="0068388F"/>
    <w:rsid w:val="00685E53"/>
    <w:rsid w:val="00686710"/>
    <w:rsid w:val="00687228"/>
    <w:rsid w:val="00692BDF"/>
    <w:rsid w:val="006931CE"/>
    <w:rsid w:val="00697627"/>
    <w:rsid w:val="006A3472"/>
    <w:rsid w:val="006A4407"/>
    <w:rsid w:val="006A66D5"/>
    <w:rsid w:val="006C45B6"/>
    <w:rsid w:val="006C5703"/>
    <w:rsid w:val="006C6D75"/>
    <w:rsid w:val="006C7E1F"/>
    <w:rsid w:val="006D04F0"/>
    <w:rsid w:val="006D0D6E"/>
    <w:rsid w:val="006D1651"/>
    <w:rsid w:val="006D7F2C"/>
    <w:rsid w:val="006E0FAF"/>
    <w:rsid w:val="006E67F1"/>
    <w:rsid w:val="006E689E"/>
    <w:rsid w:val="006E6D40"/>
    <w:rsid w:val="006F699D"/>
    <w:rsid w:val="00701AF1"/>
    <w:rsid w:val="00711555"/>
    <w:rsid w:val="007129A5"/>
    <w:rsid w:val="00713042"/>
    <w:rsid w:val="007157D8"/>
    <w:rsid w:val="007221BB"/>
    <w:rsid w:val="007221E9"/>
    <w:rsid w:val="007224A6"/>
    <w:rsid w:val="00722622"/>
    <w:rsid w:val="00724A8D"/>
    <w:rsid w:val="00730EAF"/>
    <w:rsid w:val="00732DA0"/>
    <w:rsid w:val="00736753"/>
    <w:rsid w:val="00743D75"/>
    <w:rsid w:val="00754E93"/>
    <w:rsid w:val="00757050"/>
    <w:rsid w:val="00760E29"/>
    <w:rsid w:val="0076140F"/>
    <w:rsid w:val="007621AB"/>
    <w:rsid w:val="007668F3"/>
    <w:rsid w:val="00773DAE"/>
    <w:rsid w:val="007742E2"/>
    <w:rsid w:val="007774C8"/>
    <w:rsid w:val="007778C9"/>
    <w:rsid w:val="00780D2C"/>
    <w:rsid w:val="00781D5D"/>
    <w:rsid w:val="00782670"/>
    <w:rsid w:val="00783D55"/>
    <w:rsid w:val="00783DC6"/>
    <w:rsid w:val="00784B52"/>
    <w:rsid w:val="0078593C"/>
    <w:rsid w:val="00787400"/>
    <w:rsid w:val="00790865"/>
    <w:rsid w:val="0079240E"/>
    <w:rsid w:val="00792F90"/>
    <w:rsid w:val="007936D5"/>
    <w:rsid w:val="00795529"/>
    <w:rsid w:val="0079695B"/>
    <w:rsid w:val="007973BD"/>
    <w:rsid w:val="007B3C03"/>
    <w:rsid w:val="007C213E"/>
    <w:rsid w:val="007C5897"/>
    <w:rsid w:val="007C6029"/>
    <w:rsid w:val="007D0907"/>
    <w:rsid w:val="007D127C"/>
    <w:rsid w:val="007D6A5D"/>
    <w:rsid w:val="007E399C"/>
    <w:rsid w:val="007E40C6"/>
    <w:rsid w:val="007E59ED"/>
    <w:rsid w:val="007F3DB8"/>
    <w:rsid w:val="00800048"/>
    <w:rsid w:val="00802960"/>
    <w:rsid w:val="00802D1C"/>
    <w:rsid w:val="00806358"/>
    <w:rsid w:val="00814EBD"/>
    <w:rsid w:val="00817E3D"/>
    <w:rsid w:val="00820A7D"/>
    <w:rsid w:val="00823414"/>
    <w:rsid w:val="00827152"/>
    <w:rsid w:val="008278F8"/>
    <w:rsid w:val="00827F21"/>
    <w:rsid w:val="00835375"/>
    <w:rsid w:val="00835C7D"/>
    <w:rsid w:val="00836117"/>
    <w:rsid w:val="00836A49"/>
    <w:rsid w:val="00841219"/>
    <w:rsid w:val="00844E8B"/>
    <w:rsid w:val="008464E5"/>
    <w:rsid w:val="00850184"/>
    <w:rsid w:val="00850989"/>
    <w:rsid w:val="00855EB8"/>
    <w:rsid w:val="008561DD"/>
    <w:rsid w:val="00864D79"/>
    <w:rsid w:val="008675B0"/>
    <w:rsid w:val="0087453F"/>
    <w:rsid w:val="00874C5B"/>
    <w:rsid w:val="00883F0B"/>
    <w:rsid w:val="0088608A"/>
    <w:rsid w:val="008940C2"/>
    <w:rsid w:val="0089705A"/>
    <w:rsid w:val="008A3358"/>
    <w:rsid w:val="008A44DC"/>
    <w:rsid w:val="008B2B67"/>
    <w:rsid w:val="008C0CC1"/>
    <w:rsid w:val="008C1D8A"/>
    <w:rsid w:val="008D5081"/>
    <w:rsid w:val="008E1BF2"/>
    <w:rsid w:val="008E42EA"/>
    <w:rsid w:val="008E6368"/>
    <w:rsid w:val="008F0659"/>
    <w:rsid w:val="008F255A"/>
    <w:rsid w:val="008F4DFB"/>
    <w:rsid w:val="008F5DEB"/>
    <w:rsid w:val="008F7859"/>
    <w:rsid w:val="00900A5B"/>
    <w:rsid w:val="00904234"/>
    <w:rsid w:val="009059B5"/>
    <w:rsid w:val="0090735C"/>
    <w:rsid w:val="00910137"/>
    <w:rsid w:val="009114E4"/>
    <w:rsid w:val="00912E43"/>
    <w:rsid w:val="0091594C"/>
    <w:rsid w:val="00917F13"/>
    <w:rsid w:val="009204CF"/>
    <w:rsid w:val="00923E73"/>
    <w:rsid w:val="009264A6"/>
    <w:rsid w:val="00930513"/>
    <w:rsid w:val="0093391B"/>
    <w:rsid w:val="0094395B"/>
    <w:rsid w:val="00945EF8"/>
    <w:rsid w:val="00946D86"/>
    <w:rsid w:val="0094764A"/>
    <w:rsid w:val="00953BBB"/>
    <w:rsid w:val="009568A7"/>
    <w:rsid w:val="009610FB"/>
    <w:rsid w:val="0096174F"/>
    <w:rsid w:val="00963706"/>
    <w:rsid w:val="009708B6"/>
    <w:rsid w:val="009740B2"/>
    <w:rsid w:val="0097528C"/>
    <w:rsid w:val="009774BF"/>
    <w:rsid w:val="00982A9E"/>
    <w:rsid w:val="00986D00"/>
    <w:rsid w:val="00995D93"/>
    <w:rsid w:val="00996BEF"/>
    <w:rsid w:val="009A0D21"/>
    <w:rsid w:val="009A157B"/>
    <w:rsid w:val="009A1F1E"/>
    <w:rsid w:val="009B0235"/>
    <w:rsid w:val="009B1C24"/>
    <w:rsid w:val="009B3E77"/>
    <w:rsid w:val="009B72AA"/>
    <w:rsid w:val="009C2AFB"/>
    <w:rsid w:val="009D7B32"/>
    <w:rsid w:val="009E1D62"/>
    <w:rsid w:val="009E6418"/>
    <w:rsid w:val="009E6A64"/>
    <w:rsid w:val="009F10D9"/>
    <w:rsid w:val="009F3A40"/>
    <w:rsid w:val="009F3BDA"/>
    <w:rsid w:val="00A058C3"/>
    <w:rsid w:val="00A06B28"/>
    <w:rsid w:val="00A07469"/>
    <w:rsid w:val="00A14BB3"/>
    <w:rsid w:val="00A15FC5"/>
    <w:rsid w:val="00A17131"/>
    <w:rsid w:val="00A20454"/>
    <w:rsid w:val="00A20642"/>
    <w:rsid w:val="00A274E6"/>
    <w:rsid w:val="00A302E7"/>
    <w:rsid w:val="00A36F5F"/>
    <w:rsid w:val="00A4059B"/>
    <w:rsid w:val="00A42859"/>
    <w:rsid w:val="00A506A2"/>
    <w:rsid w:val="00A67741"/>
    <w:rsid w:val="00A70258"/>
    <w:rsid w:val="00A70975"/>
    <w:rsid w:val="00A70CE9"/>
    <w:rsid w:val="00A724C8"/>
    <w:rsid w:val="00A7256A"/>
    <w:rsid w:val="00A749F5"/>
    <w:rsid w:val="00A8292A"/>
    <w:rsid w:val="00A852FB"/>
    <w:rsid w:val="00A869D0"/>
    <w:rsid w:val="00A86E01"/>
    <w:rsid w:val="00A90587"/>
    <w:rsid w:val="00A928EA"/>
    <w:rsid w:val="00A940AB"/>
    <w:rsid w:val="00A94848"/>
    <w:rsid w:val="00AA0428"/>
    <w:rsid w:val="00AA3700"/>
    <w:rsid w:val="00AA7963"/>
    <w:rsid w:val="00AB226D"/>
    <w:rsid w:val="00AB31FF"/>
    <w:rsid w:val="00AB3238"/>
    <w:rsid w:val="00AB4BC8"/>
    <w:rsid w:val="00AB50C4"/>
    <w:rsid w:val="00AE19E2"/>
    <w:rsid w:val="00AE6C2A"/>
    <w:rsid w:val="00AF38F6"/>
    <w:rsid w:val="00B0162A"/>
    <w:rsid w:val="00B0483D"/>
    <w:rsid w:val="00B05766"/>
    <w:rsid w:val="00B065CE"/>
    <w:rsid w:val="00B13791"/>
    <w:rsid w:val="00B2612C"/>
    <w:rsid w:val="00B262C3"/>
    <w:rsid w:val="00B265E1"/>
    <w:rsid w:val="00B3337D"/>
    <w:rsid w:val="00B33EA6"/>
    <w:rsid w:val="00B4218B"/>
    <w:rsid w:val="00B43F02"/>
    <w:rsid w:val="00B46B09"/>
    <w:rsid w:val="00B47304"/>
    <w:rsid w:val="00B51EAC"/>
    <w:rsid w:val="00B52092"/>
    <w:rsid w:val="00B53D9A"/>
    <w:rsid w:val="00B56057"/>
    <w:rsid w:val="00B67A7A"/>
    <w:rsid w:val="00B81EFD"/>
    <w:rsid w:val="00B8280E"/>
    <w:rsid w:val="00BA05F1"/>
    <w:rsid w:val="00BA0EF2"/>
    <w:rsid w:val="00BA1712"/>
    <w:rsid w:val="00BB3485"/>
    <w:rsid w:val="00BC6BA5"/>
    <w:rsid w:val="00BD3ACD"/>
    <w:rsid w:val="00BD52BD"/>
    <w:rsid w:val="00BE7C5F"/>
    <w:rsid w:val="00BF5C5D"/>
    <w:rsid w:val="00C0091A"/>
    <w:rsid w:val="00C0344C"/>
    <w:rsid w:val="00C041EB"/>
    <w:rsid w:val="00C07F1C"/>
    <w:rsid w:val="00C12137"/>
    <w:rsid w:val="00C13C5D"/>
    <w:rsid w:val="00C219C9"/>
    <w:rsid w:val="00C21D6D"/>
    <w:rsid w:val="00C21EF7"/>
    <w:rsid w:val="00C2249F"/>
    <w:rsid w:val="00C24D2B"/>
    <w:rsid w:val="00C37E6E"/>
    <w:rsid w:val="00C4566D"/>
    <w:rsid w:val="00C5342E"/>
    <w:rsid w:val="00C536D9"/>
    <w:rsid w:val="00C53D2F"/>
    <w:rsid w:val="00C55725"/>
    <w:rsid w:val="00C563AF"/>
    <w:rsid w:val="00C6330C"/>
    <w:rsid w:val="00C65C1E"/>
    <w:rsid w:val="00C709E2"/>
    <w:rsid w:val="00C717F5"/>
    <w:rsid w:val="00C732B0"/>
    <w:rsid w:val="00C73F62"/>
    <w:rsid w:val="00C74570"/>
    <w:rsid w:val="00C7771D"/>
    <w:rsid w:val="00C82D0C"/>
    <w:rsid w:val="00C838B1"/>
    <w:rsid w:val="00C8603B"/>
    <w:rsid w:val="00C87E93"/>
    <w:rsid w:val="00C93A03"/>
    <w:rsid w:val="00CA257C"/>
    <w:rsid w:val="00CA43DE"/>
    <w:rsid w:val="00CA5EB6"/>
    <w:rsid w:val="00CA62E8"/>
    <w:rsid w:val="00CB28FC"/>
    <w:rsid w:val="00CB4323"/>
    <w:rsid w:val="00CB4E8C"/>
    <w:rsid w:val="00CB51EC"/>
    <w:rsid w:val="00CC0DF9"/>
    <w:rsid w:val="00CC4C1F"/>
    <w:rsid w:val="00CC5106"/>
    <w:rsid w:val="00CD5000"/>
    <w:rsid w:val="00CE3556"/>
    <w:rsid w:val="00CE3BB9"/>
    <w:rsid w:val="00CE74C3"/>
    <w:rsid w:val="00CF0B7B"/>
    <w:rsid w:val="00CF2D21"/>
    <w:rsid w:val="00CF55E6"/>
    <w:rsid w:val="00D032A1"/>
    <w:rsid w:val="00D04D05"/>
    <w:rsid w:val="00D07972"/>
    <w:rsid w:val="00D10CD2"/>
    <w:rsid w:val="00D15511"/>
    <w:rsid w:val="00D2751C"/>
    <w:rsid w:val="00D31144"/>
    <w:rsid w:val="00D35810"/>
    <w:rsid w:val="00D37EC9"/>
    <w:rsid w:val="00D40A60"/>
    <w:rsid w:val="00D41C42"/>
    <w:rsid w:val="00D42D6B"/>
    <w:rsid w:val="00D47812"/>
    <w:rsid w:val="00D5167D"/>
    <w:rsid w:val="00D55F5A"/>
    <w:rsid w:val="00D60593"/>
    <w:rsid w:val="00D63DD4"/>
    <w:rsid w:val="00D64317"/>
    <w:rsid w:val="00D70785"/>
    <w:rsid w:val="00D730C8"/>
    <w:rsid w:val="00D80ABA"/>
    <w:rsid w:val="00D8733F"/>
    <w:rsid w:val="00D874B9"/>
    <w:rsid w:val="00D918E7"/>
    <w:rsid w:val="00D93ADE"/>
    <w:rsid w:val="00D940AD"/>
    <w:rsid w:val="00D95D63"/>
    <w:rsid w:val="00DA375D"/>
    <w:rsid w:val="00DA507E"/>
    <w:rsid w:val="00DB3482"/>
    <w:rsid w:val="00DC7841"/>
    <w:rsid w:val="00DD494F"/>
    <w:rsid w:val="00DD61A4"/>
    <w:rsid w:val="00DD78A5"/>
    <w:rsid w:val="00DD7E3B"/>
    <w:rsid w:val="00DE4E65"/>
    <w:rsid w:val="00DE5200"/>
    <w:rsid w:val="00DE59AA"/>
    <w:rsid w:val="00E0088D"/>
    <w:rsid w:val="00E01893"/>
    <w:rsid w:val="00E02423"/>
    <w:rsid w:val="00E0417E"/>
    <w:rsid w:val="00E063C3"/>
    <w:rsid w:val="00E14E8B"/>
    <w:rsid w:val="00E15461"/>
    <w:rsid w:val="00E15691"/>
    <w:rsid w:val="00E33E12"/>
    <w:rsid w:val="00E35C7A"/>
    <w:rsid w:val="00E41C8B"/>
    <w:rsid w:val="00E42C23"/>
    <w:rsid w:val="00E47ECE"/>
    <w:rsid w:val="00E523F3"/>
    <w:rsid w:val="00E64F70"/>
    <w:rsid w:val="00E750B9"/>
    <w:rsid w:val="00E779AF"/>
    <w:rsid w:val="00E8094F"/>
    <w:rsid w:val="00E83237"/>
    <w:rsid w:val="00E84670"/>
    <w:rsid w:val="00E872F2"/>
    <w:rsid w:val="00E87C6B"/>
    <w:rsid w:val="00E92B16"/>
    <w:rsid w:val="00EA2308"/>
    <w:rsid w:val="00EA5457"/>
    <w:rsid w:val="00EA70A6"/>
    <w:rsid w:val="00EB5B8A"/>
    <w:rsid w:val="00EB5FDD"/>
    <w:rsid w:val="00ED0611"/>
    <w:rsid w:val="00ED1618"/>
    <w:rsid w:val="00ED5DC2"/>
    <w:rsid w:val="00EE237D"/>
    <w:rsid w:val="00EE3A14"/>
    <w:rsid w:val="00EF09A2"/>
    <w:rsid w:val="00EF2A80"/>
    <w:rsid w:val="00EF2C39"/>
    <w:rsid w:val="00F03A54"/>
    <w:rsid w:val="00F10838"/>
    <w:rsid w:val="00F11CEE"/>
    <w:rsid w:val="00F1437D"/>
    <w:rsid w:val="00F15112"/>
    <w:rsid w:val="00F1567B"/>
    <w:rsid w:val="00F2260F"/>
    <w:rsid w:val="00F23D70"/>
    <w:rsid w:val="00F23E72"/>
    <w:rsid w:val="00F25B32"/>
    <w:rsid w:val="00F30903"/>
    <w:rsid w:val="00F311F2"/>
    <w:rsid w:val="00F3216D"/>
    <w:rsid w:val="00F327D3"/>
    <w:rsid w:val="00F36099"/>
    <w:rsid w:val="00F368F5"/>
    <w:rsid w:val="00F37DBD"/>
    <w:rsid w:val="00F4247A"/>
    <w:rsid w:val="00F5548B"/>
    <w:rsid w:val="00F72FBB"/>
    <w:rsid w:val="00F9215F"/>
    <w:rsid w:val="00F95E4F"/>
    <w:rsid w:val="00FA2171"/>
    <w:rsid w:val="00FA6139"/>
    <w:rsid w:val="00FA6E50"/>
    <w:rsid w:val="00FA7431"/>
    <w:rsid w:val="00FC0C2C"/>
    <w:rsid w:val="00FC5787"/>
    <w:rsid w:val="00FC7FAB"/>
    <w:rsid w:val="00FD0BB6"/>
    <w:rsid w:val="00FD22C3"/>
    <w:rsid w:val="00FD2F52"/>
    <w:rsid w:val="00FD47A0"/>
    <w:rsid w:val="00FD5B50"/>
    <w:rsid w:val="00FE0134"/>
    <w:rsid w:val="00FE1284"/>
    <w:rsid w:val="00FE5A53"/>
    <w:rsid w:val="00FF0791"/>
    <w:rsid w:val="48271AF9"/>
    <w:rsid w:val="6FC747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f" stroke="f">
      <v:fill on="f" focussize="0,0"/>
      <v:stroke on="f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/>
      <w:kern w:val="0"/>
      <w:sz w:val="24"/>
      <w:szCs w:val="24"/>
    </w:rPr>
  </w:style>
  <w:style w:type="table" w:styleId="7">
    <w:name w:val="Table Grid"/>
    <w:basedOn w:val="6"/>
    <w:uiPriority w:val="3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link w:val="3"/>
    <w:uiPriority w:val="99"/>
    <w:rPr>
      <w:sz w:val="18"/>
      <w:szCs w:val="18"/>
    </w:rPr>
  </w:style>
  <w:style w:type="character" w:customStyle="1" w:styleId="10">
    <w:name w:val="页眉 字符"/>
    <w:link w:val="4"/>
    <w:uiPriority w:val="99"/>
    <w:rPr>
      <w:sz w:val="18"/>
      <w:szCs w:val="18"/>
    </w:rPr>
  </w:style>
  <w:style w:type="character" w:customStyle="1" w:styleId="11">
    <w:name w:val="批注框文本 字符"/>
    <w:link w:val="2"/>
    <w:semiHidden/>
    <w:uiPriority w:val="99"/>
    <w:rPr>
      <w:rFonts w:ascii="等线" w:hAnsi="等线" w:eastAsia="等线" w:cs="Times New Roman"/>
      <w:sz w:val="18"/>
      <w:szCs w:val="18"/>
    </w:rPr>
  </w:style>
  <w:style w:type="table" w:styleId="12">
    <w:name w:val=""/>
    <w:basedOn w:val="6"/>
    <w:uiPriority w:val="46"/>
    <w:tblPr>
      <w:tblStyle w:val="6"/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>
        <w:tblStyle w:val="6"/>
      </w:tblPr>
      <w:tcPr>
        <w:tcBorders>
          <w:top w:val="nil"/>
          <w:left w:val="single" w:color="66666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6"/>
      </w:tbl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">
    <w:name w:val=""/>
    <w:basedOn w:val="6"/>
    <w:uiPriority w:val="40"/>
    <w:tblPr>
      <w:tblStyle w:val="6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9" Type="http://schemas.openxmlformats.org/officeDocument/2006/relationships/fontTable" Target="fontTable.xml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5657</Words>
  <Characters>5793</Characters>
  <Lines>43</Lines>
  <Paragraphs>12</Paragraphs>
  <TotalTime>0</TotalTime>
  <ScaleCrop>false</ScaleCrop>
  <LinksUpToDate>false</LinksUpToDate>
  <CharactersWithSpaces>5797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2025-12-03T03:29:00Z</dcterms:created>
  <dcterms:modified xsi:type="dcterms:W3CDTF">2025-12-17T09:05:51Z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F439239B01AD4FD7BCAEFA0F39150ACE_13</vt:lpwstr>
  </property>
</Properties>
</file>