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36CAC">
      <w:pPr>
        <w:spacing w:line="480" w:lineRule="exact"/>
        <w:ind w:right="1165" w:rightChars="555"/>
        <w:rPr>
          <w:rFonts w:hint="eastAsia" w:ascii="宋体" w:hAnsi="宋体" w:cs="微软雅黑"/>
          <w:b/>
          <w:bCs/>
          <w:sz w:val="32"/>
          <w:szCs w:val="32"/>
        </w:rPr>
      </w:pPr>
      <w: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946910" cy="2928620"/>
            <wp:effectExtent l="0" t="0" r="0" b="5080"/>
            <wp:wrapSquare wrapText="bothSides"/>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noChangeArrowheads="1"/>
                    </pic:cNvPicPr>
                  </pic:nvPicPr>
                  <pic:blipFill>
                    <a:blip r:embed="rId4" cstate="screen"/>
                    <a:srcRect/>
                    <a:stretch>
                      <a:fillRect/>
                    </a:stretch>
                  </pic:blipFill>
                  <pic:spPr>
                    <a:xfrm>
                      <a:off x="0" y="0"/>
                      <a:ext cx="1946910" cy="2928620"/>
                    </a:xfrm>
                    <a:prstGeom prst="rect">
                      <a:avLst/>
                    </a:prstGeom>
                    <a:noFill/>
                    <a:ln>
                      <a:noFill/>
                    </a:ln>
                    <a:effectLst/>
                  </pic:spPr>
                </pic:pic>
              </a:graphicData>
            </a:graphic>
          </wp:anchor>
        </w:drawing>
      </w:r>
      <w:r>
        <w:rPr>
          <w:rFonts w:hint="eastAsia" w:ascii="宋体" w:hAnsi="宋体" w:cs="微软雅黑"/>
          <w:b/>
          <w:bCs/>
          <w:sz w:val="32"/>
          <w:szCs w:val="32"/>
        </w:rPr>
        <w:t>杨学军老师  著名制造业运营管理专家</w:t>
      </w:r>
    </w:p>
    <w:p w14:paraId="03FCAE2C">
      <w:pPr>
        <w:spacing w:line="480" w:lineRule="exact"/>
        <w:ind w:right="1165" w:rightChars="555"/>
        <w:rPr>
          <w:rFonts w:hint="eastAsia" w:ascii="宋体" w:hAnsi="宋体" w:cs="微软雅黑"/>
          <w:b/>
          <w:bCs/>
          <w:sz w:val="24"/>
          <w:szCs w:val="24"/>
        </w:rPr>
      </w:pPr>
      <w:r>
        <w:rPr>
          <w:rFonts w:hint="eastAsia" w:ascii="宋体" w:hAnsi="宋体" w:cs="微软雅黑"/>
          <w:b/>
          <w:sz w:val="24"/>
          <w:szCs w:val="24"/>
        </w:rPr>
        <w:t>3</w:t>
      </w:r>
      <w:r>
        <w:rPr>
          <w:rFonts w:ascii="宋体" w:hAnsi="宋体" w:cs="微软雅黑"/>
          <w:b/>
          <w:sz w:val="24"/>
          <w:szCs w:val="24"/>
        </w:rPr>
        <w:t>2</w:t>
      </w:r>
      <w:r>
        <w:rPr>
          <w:rFonts w:hint="eastAsia" w:ascii="宋体" w:hAnsi="宋体" w:cs="微软雅黑"/>
          <w:b/>
          <w:sz w:val="24"/>
          <w:szCs w:val="24"/>
        </w:rPr>
        <w:t>年的实战生产管理经验</w:t>
      </w:r>
    </w:p>
    <w:p w14:paraId="0FB27D7F">
      <w:pPr>
        <w:spacing w:line="480" w:lineRule="exact"/>
        <w:rPr>
          <w:rFonts w:hint="eastAsia" w:ascii="宋体" w:hAnsi="宋体" w:cs="微软雅黑"/>
          <w:sz w:val="24"/>
          <w:szCs w:val="24"/>
        </w:rPr>
      </w:pPr>
      <w:r>
        <w:rPr>
          <w:rFonts w:hint="eastAsia" w:ascii="宋体" w:hAnsi="宋体" w:cs="微软雅黑"/>
          <w:sz w:val="24"/>
          <w:szCs w:val="24"/>
        </w:rPr>
        <w:t>东莞台商协会首席培训师</w:t>
      </w:r>
    </w:p>
    <w:p w14:paraId="4D851B63">
      <w:pPr>
        <w:spacing w:line="480" w:lineRule="exact"/>
        <w:rPr>
          <w:rFonts w:hint="eastAsia" w:ascii="宋体" w:hAnsi="宋体" w:cs="微软雅黑"/>
          <w:sz w:val="24"/>
          <w:szCs w:val="24"/>
        </w:rPr>
      </w:pPr>
      <w:r>
        <w:rPr>
          <w:rFonts w:hint="eastAsia" w:ascii="宋体" w:hAnsi="宋体" w:cs="微软雅黑"/>
          <w:sz w:val="24"/>
          <w:szCs w:val="24"/>
        </w:rPr>
        <w:t>16所一流高校生产领域特聘客座教授</w:t>
      </w:r>
    </w:p>
    <w:p w14:paraId="067880A5">
      <w:pPr>
        <w:spacing w:line="480" w:lineRule="exact"/>
        <w:rPr>
          <w:rFonts w:hint="eastAsia" w:ascii="宋体" w:hAnsi="宋体" w:cs="微软雅黑"/>
          <w:sz w:val="24"/>
          <w:szCs w:val="24"/>
        </w:rPr>
      </w:pPr>
      <w:r>
        <w:rPr>
          <w:rFonts w:hint="eastAsia" w:ascii="宋体" w:hAnsi="宋体" w:cs="微软雅黑"/>
          <w:sz w:val="24"/>
          <w:szCs w:val="24"/>
        </w:rPr>
        <w:t>Adidas</w:t>
      </w:r>
      <w:r>
        <w:rPr>
          <w:rFonts w:hint="eastAsia" w:ascii="宋体" w:hAnsi="宋体" w:cs="微软雅黑"/>
          <w:sz w:val="24"/>
          <w:szCs w:val="24"/>
          <w:lang w:val="en-US" w:eastAsia="zh-CN"/>
        </w:rPr>
        <w:t>/</w:t>
      </w:r>
      <w:r>
        <w:rPr>
          <w:rFonts w:hint="eastAsia" w:ascii="宋体" w:hAnsi="宋体" w:cs="微软雅黑"/>
          <w:sz w:val="24"/>
          <w:szCs w:val="24"/>
        </w:rPr>
        <w:t>Nike国内代工厂指定咨询顾问</w:t>
      </w:r>
    </w:p>
    <w:p w14:paraId="57EBE34D">
      <w:pPr>
        <w:spacing w:line="480" w:lineRule="exact"/>
        <w:rPr>
          <w:rFonts w:hint="eastAsia" w:ascii="宋体" w:hAnsi="宋体" w:cs="微软雅黑"/>
          <w:sz w:val="24"/>
          <w:szCs w:val="24"/>
        </w:rPr>
      </w:pPr>
      <w:r>
        <w:rPr>
          <w:rFonts w:hint="eastAsia" w:ascii="宋体" w:hAnsi="宋体" w:cs="微软雅黑"/>
          <w:sz w:val="24"/>
          <w:szCs w:val="24"/>
        </w:rPr>
        <w:t>深圳市高新技术产业协会特聘培训师</w:t>
      </w:r>
    </w:p>
    <w:p w14:paraId="0F7BE501">
      <w:pPr>
        <w:spacing w:line="480" w:lineRule="exact"/>
        <w:rPr>
          <w:rFonts w:hint="eastAsia" w:ascii="宋体" w:hAnsi="宋体" w:cs="微软雅黑"/>
          <w:b/>
          <w:sz w:val="24"/>
          <w:szCs w:val="24"/>
        </w:rPr>
      </w:pPr>
      <w:r>
        <w:rPr>
          <w:rFonts w:hint="eastAsia" w:ascii="宋体" w:hAnsi="宋体" w:cs="微软雅黑"/>
          <w:b/>
          <w:sz w:val="24"/>
          <w:szCs w:val="24"/>
        </w:rPr>
        <w:t>曾任：</w:t>
      </w:r>
      <w:r>
        <w:rPr>
          <w:rFonts w:hint="eastAsia" w:ascii="宋体" w:hAnsi="宋体" w:cs="微软雅黑"/>
          <w:bCs/>
          <w:sz w:val="24"/>
          <w:szCs w:val="24"/>
        </w:rPr>
        <w:t>精工实业（国际）有限公司丨厂长</w:t>
      </w:r>
    </w:p>
    <w:p w14:paraId="1F0D1DA6">
      <w:pPr>
        <w:spacing w:line="480" w:lineRule="exact"/>
        <w:rPr>
          <w:rFonts w:hint="eastAsia" w:ascii="宋体" w:hAnsi="宋体" w:cs="微软雅黑"/>
          <w:b/>
          <w:sz w:val="24"/>
          <w:szCs w:val="24"/>
        </w:rPr>
      </w:pPr>
      <w:r>
        <w:rPr>
          <w:rFonts w:hint="eastAsia" w:ascii="宋体" w:hAnsi="宋体" w:cs="微软雅黑"/>
          <w:b/>
          <w:sz w:val="24"/>
          <w:szCs w:val="24"/>
        </w:rPr>
        <w:t>曾任：</w:t>
      </w:r>
      <w:r>
        <w:rPr>
          <w:rFonts w:hint="eastAsia" w:ascii="宋体" w:hAnsi="宋体" w:cs="微软雅黑"/>
          <w:bCs/>
          <w:sz w:val="24"/>
          <w:szCs w:val="24"/>
        </w:rPr>
        <w:t>薛长兴工业股份公司丨生产经理/副总经理</w:t>
      </w:r>
    </w:p>
    <w:p w14:paraId="55372B51">
      <w:pPr>
        <w:spacing w:line="480" w:lineRule="exact"/>
        <w:rPr>
          <w:rFonts w:hint="eastAsia" w:ascii="宋体" w:hAnsi="宋体" w:cs="微软雅黑"/>
          <w:b/>
          <w:sz w:val="24"/>
          <w:szCs w:val="24"/>
        </w:rPr>
      </w:pPr>
      <w:r>
        <w:rPr>
          <w:rFonts w:hint="eastAsia" w:ascii="宋体" w:hAnsi="宋体" w:cs="微软雅黑"/>
          <w:b/>
          <w:sz w:val="24"/>
          <w:szCs w:val="24"/>
        </w:rPr>
        <w:t>擅长领域：</w:t>
      </w:r>
      <w:r>
        <w:rPr>
          <w:rFonts w:hint="eastAsia" w:ascii="宋体" w:hAnsi="宋体" w:cs="微软雅黑"/>
          <w:bCs/>
          <w:sz w:val="24"/>
          <w:szCs w:val="24"/>
        </w:rPr>
        <w:t>生产计划、精益管理、物料控制、班组长、现场改善、质量管理……</w:t>
      </w:r>
    </w:p>
    <w:p w14:paraId="399F9426">
      <w:pPr>
        <w:adjustRightInd w:val="0"/>
        <w:snapToGrid w:val="0"/>
        <w:spacing w:line="480" w:lineRule="exact"/>
        <w:rPr>
          <w:rFonts w:ascii="宋体" w:hAnsi="宋体" w:cs="微软雅黑"/>
          <w:b/>
          <w:bCs/>
          <w:sz w:val="24"/>
          <w:szCs w:val="24"/>
        </w:rPr>
      </w:pPr>
    </w:p>
    <w:p w14:paraId="40859D3D">
      <w:pPr>
        <w:adjustRightInd w:val="0"/>
        <w:snapToGrid w:val="0"/>
        <w:spacing w:line="480" w:lineRule="exact"/>
        <w:rPr>
          <w:rFonts w:hint="eastAsia" w:ascii="宋体" w:hAnsi="宋体" w:cs="微软雅黑"/>
          <w:b/>
          <w:bCs/>
          <w:sz w:val="24"/>
          <w:szCs w:val="24"/>
        </w:rPr>
      </w:pPr>
      <w:r>
        <w:rPr>
          <w:rFonts w:hint="eastAsia" w:ascii="宋体" w:hAnsi="宋体" w:cs="微软雅黑"/>
          <w:b/>
          <w:bCs/>
          <w:sz w:val="24"/>
          <w:szCs w:val="24"/>
        </w:rPr>
        <w:t>实战经验：</w:t>
      </w:r>
    </w:p>
    <w:p w14:paraId="60EE0CB1">
      <w:pPr>
        <w:adjustRightInd w:val="0"/>
        <w:snapToGrid w:val="0"/>
        <w:spacing w:line="480" w:lineRule="exact"/>
        <w:ind w:firstLine="420"/>
        <w:rPr>
          <w:rFonts w:hint="eastAsia" w:ascii="宋体" w:hAnsi="宋体" w:cs="微软雅黑"/>
          <w:sz w:val="24"/>
          <w:szCs w:val="24"/>
        </w:rPr>
      </w:pPr>
      <w:r>
        <w:rPr>
          <w:rFonts w:hint="eastAsia" w:ascii="宋体" w:hAnsi="宋体" w:cs="微软雅黑"/>
          <w:sz w:val="24"/>
          <w:szCs w:val="24"/>
        </w:rPr>
        <w:t>杨老师从工厂一线技术工人做起，历任工段长、班组长、车间主任、生产部经理、厂长等岗位，亲历</w:t>
      </w:r>
      <w:r>
        <w:rPr>
          <w:rFonts w:hint="eastAsia" w:ascii="宋体" w:hAnsi="宋体" w:cs="微软雅黑"/>
          <w:b/>
          <w:bCs/>
          <w:sz w:val="24"/>
          <w:szCs w:val="24"/>
        </w:rPr>
        <w:t>国企、民企、台企、港企、外企</w:t>
      </w:r>
      <w:r>
        <w:rPr>
          <w:rFonts w:hint="eastAsia" w:ascii="宋体" w:hAnsi="宋体" w:cs="微软雅黑"/>
          <w:sz w:val="24"/>
          <w:szCs w:val="24"/>
        </w:rPr>
        <w:t>生产、管理模式；</w:t>
      </w:r>
      <w:r>
        <w:rPr>
          <w:rFonts w:ascii="宋体" w:hAnsi="宋体" w:cs="微软雅黑"/>
          <w:b/>
          <w:sz w:val="24"/>
          <w:szCs w:val="24"/>
        </w:rPr>
        <w:t>20</w:t>
      </w:r>
      <w:r>
        <w:rPr>
          <w:rFonts w:hint="eastAsia" w:ascii="宋体" w:hAnsi="宋体" w:cs="微软雅黑"/>
          <w:b/>
          <w:sz w:val="24"/>
          <w:szCs w:val="24"/>
        </w:rPr>
        <w:t>年</w:t>
      </w:r>
      <w:r>
        <w:rPr>
          <w:rFonts w:hint="eastAsia" w:ascii="宋体" w:hAnsi="宋体" w:cs="微软雅黑"/>
          <w:sz w:val="24"/>
          <w:szCs w:val="24"/>
        </w:rPr>
        <w:t>各类制造业第一线管理咨询经历；</w:t>
      </w:r>
      <w:r>
        <w:rPr>
          <w:rFonts w:ascii="宋体" w:hAnsi="宋体" w:cs="微软雅黑"/>
          <w:b/>
          <w:bCs/>
          <w:sz w:val="24"/>
          <w:szCs w:val="24"/>
        </w:rPr>
        <w:t>90</w:t>
      </w:r>
      <w:r>
        <w:rPr>
          <w:rFonts w:hint="eastAsia" w:ascii="宋体" w:hAnsi="宋体" w:cs="微软雅黑"/>
          <w:b/>
          <w:bCs/>
          <w:sz w:val="24"/>
          <w:szCs w:val="24"/>
        </w:rPr>
        <w:t>余家</w:t>
      </w:r>
      <w:r>
        <w:rPr>
          <w:rFonts w:hint="eastAsia" w:ascii="宋体" w:hAnsi="宋体" w:cs="微软雅黑"/>
          <w:sz w:val="24"/>
          <w:szCs w:val="24"/>
        </w:rPr>
        <w:t>各类工厂管理改善主导；近</w:t>
      </w:r>
      <w:r>
        <w:rPr>
          <w:rFonts w:hint="eastAsia" w:ascii="宋体" w:hAnsi="宋体" w:cs="微软雅黑"/>
          <w:b/>
          <w:sz w:val="24"/>
          <w:szCs w:val="24"/>
        </w:rPr>
        <w:t>1600</w:t>
      </w:r>
      <w:r>
        <w:rPr>
          <w:rFonts w:hint="eastAsia" w:ascii="宋体" w:hAnsi="宋体" w:cs="微软雅黑"/>
          <w:bCs/>
          <w:sz w:val="24"/>
          <w:szCs w:val="24"/>
        </w:rPr>
        <w:t>场内训课程</w:t>
      </w:r>
      <w:r>
        <w:rPr>
          <w:rFonts w:hint="eastAsia" w:ascii="宋体" w:hAnsi="宋体" w:cs="微软雅黑"/>
          <w:sz w:val="24"/>
          <w:szCs w:val="24"/>
        </w:rPr>
        <w:t>，</w:t>
      </w:r>
      <w:r>
        <w:rPr>
          <w:rFonts w:hint="eastAsia" w:ascii="宋体" w:hAnsi="宋体" w:cs="微软雅黑"/>
          <w:b/>
          <w:bCs/>
          <w:sz w:val="24"/>
          <w:szCs w:val="24"/>
        </w:rPr>
        <w:t>6</w:t>
      </w:r>
      <w:r>
        <w:rPr>
          <w:rFonts w:ascii="宋体" w:hAnsi="宋体" w:cs="微软雅黑"/>
          <w:b/>
          <w:bCs/>
          <w:sz w:val="24"/>
          <w:szCs w:val="24"/>
        </w:rPr>
        <w:t>1</w:t>
      </w:r>
      <w:r>
        <w:rPr>
          <w:rFonts w:hint="eastAsia" w:ascii="宋体" w:hAnsi="宋体" w:cs="微软雅黑"/>
          <w:b/>
          <w:bCs/>
          <w:sz w:val="24"/>
          <w:szCs w:val="24"/>
        </w:rPr>
        <w:t>000</w:t>
      </w:r>
      <w:r>
        <w:rPr>
          <w:rFonts w:hint="eastAsia" w:ascii="宋体" w:hAnsi="宋体" w:cs="微软雅黑"/>
          <w:sz w:val="24"/>
          <w:szCs w:val="24"/>
        </w:rPr>
        <w:t>人次学员参与；</w:t>
      </w:r>
      <w:r>
        <w:rPr>
          <w:rFonts w:hint="eastAsia" w:ascii="宋体" w:hAnsi="宋体" w:cs="微软雅黑"/>
          <w:b/>
          <w:sz w:val="24"/>
          <w:szCs w:val="24"/>
        </w:rPr>
        <w:t>1000</w:t>
      </w:r>
      <w:r>
        <w:rPr>
          <w:rFonts w:hint="eastAsia" w:ascii="宋体" w:hAnsi="宋体" w:cs="微软雅黑"/>
          <w:bCs/>
          <w:sz w:val="24"/>
          <w:szCs w:val="24"/>
        </w:rPr>
        <w:t>次现场巡视</w:t>
      </w:r>
      <w:r>
        <w:rPr>
          <w:rFonts w:hint="eastAsia" w:ascii="宋体" w:hAnsi="宋体" w:cs="微软雅黑"/>
          <w:sz w:val="24"/>
          <w:szCs w:val="24"/>
        </w:rPr>
        <w:t>；</w:t>
      </w:r>
      <w:r>
        <w:rPr>
          <w:rFonts w:hint="eastAsia" w:ascii="宋体" w:hAnsi="宋体" w:cs="微软雅黑"/>
          <w:b/>
          <w:bCs/>
          <w:sz w:val="24"/>
          <w:szCs w:val="24"/>
        </w:rPr>
        <w:t>1000</w:t>
      </w:r>
      <w:r>
        <w:rPr>
          <w:rFonts w:hint="eastAsia" w:ascii="宋体" w:hAnsi="宋体" w:cs="微软雅黑"/>
          <w:sz w:val="24"/>
          <w:szCs w:val="24"/>
        </w:rPr>
        <w:t>次会议主持；</w:t>
      </w:r>
      <w:r>
        <w:rPr>
          <w:rFonts w:hint="eastAsia" w:ascii="宋体" w:hAnsi="宋体" w:cs="微软雅黑"/>
          <w:b/>
          <w:sz w:val="24"/>
          <w:szCs w:val="24"/>
        </w:rPr>
        <w:t>10000</w:t>
      </w:r>
      <w:r>
        <w:rPr>
          <w:rFonts w:hint="eastAsia" w:ascii="宋体" w:hAnsi="宋体" w:cs="微软雅黑"/>
          <w:bCs/>
          <w:sz w:val="24"/>
          <w:szCs w:val="24"/>
        </w:rPr>
        <w:t>人次一对一辅导。</w:t>
      </w:r>
    </w:p>
    <w:p w14:paraId="2769D2D8">
      <w:pPr>
        <w:adjustRightInd w:val="0"/>
        <w:snapToGrid w:val="0"/>
        <w:spacing w:line="480" w:lineRule="exact"/>
        <w:ind w:firstLine="420"/>
        <w:rPr>
          <w:rFonts w:hint="eastAsia" w:ascii="宋体" w:hAnsi="宋体" w:cs="微软雅黑"/>
          <w:sz w:val="24"/>
          <w:szCs w:val="24"/>
        </w:rPr>
      </w:pPr>
      <w:r>
        <w:rPr>
          <w:rFonts w:hint="eastAsia" w:ascii="宋体" w:hAnsi="宋体" w:cs="微软雅黑"/>
          <w:sz w:val="24"/>
          <w:szCs w:val="24"/>
        </w:rPr>
        <w:t>在精工实业（国际）有限公司精工制品厂从包装主管做起，历任生产部经理，厂长，负责生产，质量，技术，辅佐老板将一个单一的印刷后段装订工厂，发展成集印刷/装订和印刷设备制造（烫金机）于一体的企业，</w:t>
      </w:r>
      <w:r>
        <w:rPr>
          <w:rFonts w:hint="eastAsia" w:ascii="宋体" w:hAnsi="宋体" w:cs="微软雅黑"/>
          <w:b/>
          <w:sz w:val="24"/>
          <w:szCs w:val="24"/>
        </w:rPr>
        <w:t>年产值超过2个亿</w:t>
      </w:r>
      <w:r>
        <w:rPr>
          <w:rFonts w:hint="eastAsia" w:ascii="宋体" w:hAnsi="宋体" w:cs="微软雅黑"/>
          <w:sz w:val="24"/>
          <w:szCs w:val="24"/>
        </w:rPr>
        <w:t>；曾任薛长兴工业股份有限公司生产经理，担任生产部经理期间，将生产效率</w:t>
      </w:r>
      <w:r>
        <w:rPr>
          <w:rFonts w:hint="eastAsia" w:ascii="宋体" w:hAnsi="宋体" w:cs="微软雅黑"/>
          <w:b/>
          <w:sz w:val="24"/>
          <w:szCs w:val="24"/>
        </w:rPr>
        <w:t>由35%提升到80%，客诉率由百分之三降到千分之一</w:t>
      </w:r>
      <w:r>
        <w:rPr>
          <w:rFonts w:hint="eastAsia" w:ascii="宋体" w:hAnsi="宋体" w:cs="微软雅黑"/>
          <w:sz w:val="24"/>
          <w:szCs w:val="24"/>
        </w:rPr>
        <w:t>，月人均产值从不到5万元（台币）提升到12万元，是整个集团公司提升最快的干部，担任副总经理，协助总经理完善组织架构，设计人员编制，辅导干部编写岗位职责，构建培训体系，导入KPI，完善薪资福利制度。</w:t>
      </w:r>
    </w:p>
    <w:p w14:paraId="21CA7B91">
      <w:pPr>
        <w:spacing w:line="480" w:lineRule="exact"/>
        <w:rPr>
          <w:rFonts w:hint="eastAsia" w:ascii="宋体" w:hAnsi="宋体" w:cs="微软雅黑"/>
          <w:sz w:val="24"/>
          <w:szCs w:val="24"/>
        </w:rPr>
      </w:pPr>
    </w:p>
    <w:p w14:paraId="6FF32E02">
      <w:pPr>
        <w:spacing w:line="480" w:lineRule="exact"/>
        <w:rPr>
          <w:rFonts w:hint="eastAsia" w:ascii="宋体" w:hAnsi="宋体" w:cs="微软雅黑"/>
          <w:b/>
          <w:bCs/>
          <w:sz w:val="24"/>
          <w:szCs w:val="24"/>
        </w:rPr>
      </w:pPr>
      <w:r>
        <w:rPr>
          <w:rFonts w:hint="eastAsia" w:ascii="宋体" w:hAnsi="宋体" w:cs="微软雅黑"/>
          <w:b/>
          <w:bCs/>
          <w:sz w:val="24"/>
          <w:szCs w:val="24"/>
        </w:rPr>
        <w:t>部分授课案例：</w:t>
      </w:r>
    </w:p>
    <w:p w14:paraId="5F38F5BD">
      <w:pPr>
        <w:spacing w:line="480" w:lineRule="exact"/>
        <w:rPr>
          <w:rFonts w:hint="eastAsia" w:ascii="宋体" w:hAnsi="宋体" w:cs="微软雅黑"/>
          <w:sz w:val="24"/>
          <w:szCs w:val="24"/>
        </w:rPr>
      </w:pPr>
      <w:r>
        <w:rPr>
          <w:rFonts w:hint="eastAsia" w:ascii="宋体" w:hAnsi="宋体" w:cs="微软雅黑"/>
          <w:sz w:val="24"/>
          <w:szCs w:val="24"/>
        </w:rPr>
        <w:t>1. 受邀给</w:t>
      </w:r>
      <w:r>
        <w:rPr>
          <w:rFonts w:hint="eastAsia" w:ascii="宋体" w:hAnsi="宋体" w:cs="微软雅黑"/>
          <w:b/>
          <w:sz w:val="24"/>
          <w:szCs w:val="24"/>
        </w:rPr>
        <w:t>石药集团</w:t>
      </w:r>
      <w:r>
        <w:rPr>
          <w:rFonts w:hint="eastAsia" w:ascii="宋体" w:hAnsi="宋体" w:cs="微软雅黑"/>
          <w:sz w:val="24"/>
          <w:szCs w:val="24"/>
        </w:rPr>
        <w:t>讲授《现场改善与生产效率提升》累计高达</w:t>
      </w:r>
      <w:r>
        <w:rPr>
          <w:rFonts w:ascii="宋体" w:hAnsi="宋体" w:cs="微软雅黑"/>
          <w:b/>
          <w:sz w:val="24"/>
          <w:szCs w:val="24"/>
        </w:rPr>
        <w:t>13</w:t>
      </w:r>
      <w:r>
        <w:rPr>
          <w:rFonts w:hint="eastAsia" w:ascii="宋体" w:hAnsi="宋体" w:cs="微软雅黑"/>
          <w:b/>
          <w:sz w:val="24"/>
          <w:szCs w:val="24"/>
        </w:rPr>
        <w:t>期</w:t>
      </w:r>
      <w:r>
        <w:rPr>
          <w:rFonts w:hint="eastAsia" w:ascii="宋体" w:hAnsi="宋体" w:cs="微软雅黑"/>
          <w:sz w:val="24"/>
          <w:szCs w:val="24"/>
        </w:rPr>
        <w:t>，其中返聘《金牌班组长管理能力提升》</w:t>
      </w:r>
      <w:r>
        <w:rPr>
          <w:rFonts w:ascii="宋体" w:hAnsi="宋体" w:cs="微软雅黑"/>
          <w:sz w:val="24"/>
          <w:szCs w:val="24"/>
        </w:rPr>
        <w:t>4</w:t>
      </w:r>
      <w:r>
        <w:rPr>
          <w:rFonts w:hint="eastAsia" w:ascii="宋体" w:hAnsi="宋体" w:cs="微软雅黑"/>
          <w:sz w:val="24"/>
          <w:szCs w:val="24"/>
        </w:rPr>
        <w:t>期，皆受到企业老板一致好评。</w:t>
      </w:r>
    </w:p>
    <w:p w14:paraId="27384CF9">
      <w:pPr>
        <w:spacing w:line="480" w:lineRule="exact"/>
        <w:rPr>
          <w:rFonts w:hint="eastAsia" w:ascii="宋体" w:hAnsi="宋体" w:cs="微软雅黑"/>
          <w:sz w:val="24"/>
          <w:szCs w:val="24"/>
        </w:rPr>
      </w:pPr>
      <w:r>
        <w:rPr>
          <w:rFonts w:hint="eastAsia" w:ascii="宋体" w:hAnsi="宋体" w:cs="微软雅黑"/>
          <w:sz w:val="24"/>
          <w:szCs w:val="24"/>
        </w:rPr>
        <w:t>2. 受邀给</w:t>
      </w:r>
      <w:r>
        <w:rPr>
          <w:rFonts w:hint="eastAsia" w:ascii="宋体" w:hAnsi="宋体" w:cs="微软雅黑"/>
          <w:b/>
          <w:sz w:val="24"/>
          <w:szCs w:val="24"/>
        </w:rPr>
        <w:t>厦门象屿集团</w:t>
      </w:r>
      <w:r>
        <w:rPr>
          <w:rFonts w:hint="eastAsia" w:ascii="宋体" w:hAnsi="宋体" w:cs="微软雅黑"/>
          <w:sz w:val="24"/>
          <w:szCs w:val="24"/>
        </w:rPr>
        <w:t>讲授《</w:t>
      </w:r>
      <w:r>
        <w:rPr>
          <w:rFonts w:ascii="宋体" w:hAnsi="宋体" w:cs="微软雅黑"/>
          <w:sz w:val="24"/>
          <w:szCs w:val="24"/>
        </w:rPr>
        <w:t>5S</w:t>
      </w:r>
      <w:r>
        <w:rPr>
          <w:rFonts w:hint="eastAsia" w:ascii="宋体" w:hAnsi="宋体" w:cs="微软雅黑"/>
          <w:sz w:val="24"/>
          <w:szCs w:val="24"/>
        </w:rPr>
        <w:t>长效导入》</w:t>
      </w:r>
      <w:r>
        <w:rPr>
          <w:rFonts w:ascii="宋体" w:hAnsi="宋体" w:cs="微软雅黑"/>
          <w:sz w:val="24"/>
          <w:szCs w:val="24"/>
        </w:rPr>
        <w:t>3</w:t>
      </w:r>
      <w:r>
        <w:rPr>
          <w:rFonts w:hint="eastAsia" w:ascii="宋体" w:hAnsi="宋体" w:cs="微软雅黑"/>
          <w:sz w:val="24"/>
          <w:szCs w:val="24"/>
        </w:rPr>
        <w:t>期。</w:t>
      </w:r>
    </w:p>
    <w:p w14:paraId="35EDA2DB">
      <w:pPr>
        <w:spacing w:line="480" w:lineRule="exact"/>
        <w:rPr>
          <w:rFonts w:hint="eastAsia" w:ascii="宋体" w:hAnsi="宋体" w:cs="微软雅黑"/>
          <w:sz w:val="24"/>
          <w:szCs w:val="24"/>
        </w:rPr>
      </w:pPr>
      <w:r>
        <w:rPr>
          <w:rFonts w:hint="eastAsia" w:ascii="宋体" w:hAnsi="宋体" w:cs="微软雅黑"/>
          <w:sz w:val="24"/>
          <w:szCs w:val="24"/>
        </w:rPr>
        <w:t>3. 受邀给</w:t>
      </w:r>
      <w:r>
        <w:rPr>
          <w:rFonts w:hint="eastAsia" w:ascii="宋体" w:hAnsi="宋体" w:cs="微软雅黑"/>
          <w:b/>
          <w:sz w:val="24"/>
          <w:szCs w:val="24"/>
        </w:rPr>
        <w:t>红牛饮料</w:t>
      </w:r>
      <w:r>
        <w:rPr>
          <w:rFonts w:hint="eastAsia" w:ascii="宋体" w:hAnsi="宋体" w:cs="微软雅黑"/>
          <w:sz w:val="24"/>
          <w:szCs w:val="24"/>
        </w:rPr>
        <w:t>连续</w:t>
      </w:r>
      <w:r>
        <w:rPr>
          <w:rFonts w:ascii="宋体" w:hAnsi="宋体" w:cs="微软雅黑"/>
          <w:b/>
          <w:sz w:val="24"/>
          <w:szCs w:val="24"/>
        </w:rPr>
        <w:t>3</w:t>
      </w:r>
      <w:r>
        <w:rPr>
          <w:rFonts w:hint="eastAsia" w:ascii="宋体" w:hAnsi="宋体" w:cs="微软雅黑"/>
          <w:b/>
          <w:sz w:val="24"/>
          <w:szCs w:val="24"/>
        </w:rPr>
        <w:t>年</w:t>
      </w:r>
      <w:r>
        <w:rPr>
          <w:rFonts w:hint="eastAsia" w:ascii="宋体" w:hAnsi="宋体" w:cs="微软雅黑"/>
          <w:sz w:val="24"/>
          <w:szCs w:val="24"/>
        </w:rPr>
        <w:t>讲授《精益生产管理》</w:t>
      </w:r>
      <w:r>
        <w:rPr>
          <w:rFonts w:ascii="宋体" w:hAnsi="宋体" w:cs="微软雅黑"/>
          <w:b/>
          <w:sz w:val="24"/>
          <w:szCs w:val="24"/>
        </w:rPr>
        <w:t>18</w:t>
      </w:r>
      <w:r>
        <w:rPr>
          <w:rFonts w:hint="eastAsia" w:ascii="宋体" w:hAnsi="宋体" w:cs="微软雅黑"/>
          <w:b/>
          <w:sz w:val="24"/>
          <w:szCs w:val="24"/>
        </w:rPr>
        <w:t>期，</w:t>
      </w:r>
      <w:r>
        <w:rPr>
          <w:rFonts w:hint="eastAsia" w:ascii="宋体" w:hAnsi="宋体" w:cs="微软雅黑"/>
          <w:sz w:val="24"/>
          <w:szCs w:val="24"/>
        </w:rPr>
        <w:t>受训得学员高达上千位。</w:t>
      </w:r>
    </w:p>
    <w:p w14:paraId="788D8073">
      <w:pPr>
        <w:spacing w:line="480" w:lineRule="exact"/>
        <w:rPr>
          <w:rFonts w:hint="eastAsia" w:ascii="宋体" w:hAnsi="宋体" w:cs="微软雅黑"/>
          <w:sz w:val="24"/>
          <w:szCs w:val="24"/>
        </w:rPr>
      </w:pPr>
      <w:r>
        <w:rPr>
          <w:rFonts w:hint="eastAsia" w:ascii="宋体" w:hAnsi="宋体" w:cs="微软雅黑"/>
          <w:sz w:val="24"/>
          <w:szCs w:val="24"/>
        </w:rPr>
        <w:t>4. 受邀给某汽物流集团公司讲授《</w:t>
      </w:r>
      <w:r>
        <w:rPr>
          <w:rFonts w:ascii="宋体" w:hAnsi="宋体" w:cs="微软雅黑"/>
          <w:sz w:val="24"/>
          <w:szCs w:val="24"/>
        </w:rPr>
        <w:t>8D</w:t>
      </w:r>
      <w:r>
        <w:rPr>
          <w:rFonts w:hint="eastAsia" w:ascii="宋体" w:hAnsi="宋体" w:cs="微软雅黑"/>
          <w:sz w:val="24"/>
          <w:szCs w:val="24"/>
        </w:rPr>
        <w:t>问题分析解决》累计</w:t>
      </w:r>
      <w:r>
        <w:rPr>
          <w:rFonts w:ascii="宋体" w:hAnsi="宋体" w:cs="微软雅黑"/>
          <w:sz w:val="24"/>
          <w:szCs w:val="24"/>
        </w:rPr>
        <w:t>8</w:t>
      </w:r>
      <w:r>
        <w:rPr>
          <w:rFonts w:hint="eastAsia" w:ascii="宋体" w:hAnsi="宋体" w:cs="微软雅黑"/>
          <w:sz w:val="24"/>
          <w:szCs w:val="24"/>
        </w:rPr>
        <w:t>期。</w:t>
      </w:r>
    </w:p>
    <w:p w14:paraId="6785B443">
      <w:pPr>
        <w:spacing w:line="480" w:lineRule="exact"/>
        <w:rPr>
          <w:rFonts w:hint="eastAsia" w:ascii="宋体" w:hAnsi="宋体" w:cs="微软雅黑"/>
          <w:sz w:val="24"/>
          <w:szCs w:val="24"/>
        </w:rPr>
      </w:pPr>
      <w:r>
        <w:rPr>
          <w:rFonts w:hint="eastAsia" w:ascii="宋体" w:hAnsi="宋体" w:cs="微软雅黑"/>
          <w:sz w:val="24"/>
          <w:szCs w:val="24"/>
        </w:rPr>
        <w:t>5. 受邀给</w:t>
      </w:r>
      <w:r>
        <w:rPr>
          <w:rFonts w:hint="eastAsia" w:ascii="宋体" w:hAnsi="宋体" w:cs="微软雅黑"/>
          <w:b/>
          <w:sz w:val="24"/>
          <w:szCs w:val="24"/>
        </w:rPr>
        <w:t>湖南某钢铁企业</w:t>
      </w:r>
      <w:r>
        <w:rPr>
          <w:rFonts w:hint="eastAsia" w:ascii="宋体" w:hAnsi="宋体" w:cs="微软雅黑"/>
          <w:sz w:val="24"/>
          <w:szCs w:val="24"/>
        </w:rPr>
        <w:t>讲授《</w:t>
      </w:r>
      <w:r>
        <w:rPr>
          <w:rFonts w:ascii="宋体" w:hAnsi="宋体" w:cs="微软雅黑"/>
          <w:sz w:val="24"/>
          <w:szCs w:val="24"/>
        </w:rPr>
        <w:t>5S</w:t>
      </w:r>
      <w:r>
        <w:rPr>
          <w:rFonts w:hint="eastAsia" w:ascii="宋体" w:hAnsi="宋体" w:cs="微软雅黑"/>
          <w:sz w:val="24"/>
          <w:szCs w:val="24"/>
        </w:rPr>
        <w:t>长效导入》、《金牌班组长管理》《现场改善与质量管理》课程</w:t>
      </w:r>
      <w:r>
        <w:rPr>
          <w:rFonts w:ascii="宋体" w:hAnsi="宋体" w:cs="微软雅黑"/>
          <w:b/>
          <w:sz w:val="24"/>
          <w:szCs w:val="24"/>
        </w:rPr>
        <w:t>20</w:t>
      </w:r>
      <w:r>
        <w:rPr>
          <w:rFonts w:hint="eastAsia" w:ascii="宋体" w:hAnsi="宋体" w:cs="微软雅黑"/>
          <w:b/>
          <w:sz w:val="24"/>
          <w:szCs w:val="24"/>
        </w:rPr>
        <w:t>多期。</w:t>
      </w:r>
    </w:p>
    <w:p w14:paraId="0F614B2E">
      <w:pPr>
        <w:spacing w:line="480" w:lineRule="exact"/>
        <w:rPr>
          <w:rFonts w:hint="eastAsia" w:ascii="宋体" w:hAnsi="宋体" w:cs="微软雅黑"/>
          <w:sz w:val="24"/>
          <w:szCs w:val="24"/>
        </w:rPr>
      </w:pPr>
      <w:r>
        <w:rPr>
          <w:rFonts w:hint="eastAsia" w:ascii="宋体" w:hAnsi="宋体" w:cs="微软雅黑"/>
          <w:sz w:val="24"/>
          <w:szCs w:val="24"/>
        </w:rPr>
        <w:t>6. 连续</w:t>
      </w:r>
      <w:r>
        <w:rPr>
          <w:rFonts w:ascii="宋体" w:hAnsi="宋体" w:cs="微软雅黑"/>
          <w:b/>
          <w:sz w:val="24"/>
          <w:szCs w:val="24"/>
        </w:rPr>
        <w:t>2</w:t>
      </w:r>
      <w:r>
        <w:rPr>
          <w:rFonts w:hint="eastAsia" w:ascii="宋体" w:hAnsi="宋体" w:cs="微软雅黑"/>
          <w:b/>
          <w:sz w:val="24"/>
          <w:szCs w:val="24"/>
        </w:rPr>
        <w:t>年</w:t>
      </w:r>
      <w:r>
        <w:rPr>
          <w:rFonts w:hint="eastAsia" w:ascii="宋体" w:hAnsi="宋体" w:cs="微软雅黑"/>
          <w:sz w:val="24"/>
          <w:szCs w:val="24"/>
        </w:rPr>
        <w:t>给</w:t>
      </w:r>
      <w:r>
        <w:rPr>
          <w:rFonts w:hint="eastAsia" w:ascii="宋体" w:hAnsi="宋体" w:cs="微软雅黑"/>
          <w:b/>
          <w:sz w:val="24"/>
          <w:szCs w:val="24"/>
        </w:rPr>
        <w:t>华润江中制药</w:t>
      </w:r>
      <w:r>
        <w:rPr>
          <w:rFonts w:hint="eastAsia" w:ascii="宋体" w:hAnsi="宋体" w:cs="微软雅黑"/>
          <w:sz w:val="24"/>
          <w:szCs w:val="24"/>
        </w:rPr>
        <w:t>讲授《</w:t>
      </w:r>
      <w:r>
        <w:rPr>
          <w:rFonts w:ascii="宋体" w:hAnsi="宋体" w:cs="微软雅黑"/>
          <w:sz w:val="24"/>
          <w:szCs w:val="24"/>
        </w:rPr>
        <w:t>5S</w:t>
      </w:r>
      <w:r>
        <w:rPr>
          <w:rFonts w:hint="eastAsia" w:ascii="宋体" w:hAnsi="宋体" w:cs="微软雅黑"/>
          <w:sz w:val="24"/>
          <w:szCs w:val="24"/>
        </w:rPr>
        <w:t>长效导入》</w:t>
      </w:r>
      <w:r>
        <w:rPr>
          <w:rFonts w:ascii="宋体" w:hAnsi="宋体" w:cs="微软雅黑"/>
          <w:sz w:val="24"/>
          <w:szCs w:val="24"/>
        </w:rPr>
        <w:t>3</w:t>
      </w:r>
      <w:r>
        <w:rPr>
          <w:rFonts w:hint="eastAsia" w:ascii="宋体" w:hAnsi="宋体" w:cs="微软雅黑"/>
          <w:sz w:val="24"/>
          <w:szCs w:val="24"/>
        </w:rPr>
        <w:t>期。</w:t>
      </w:r>
    </w:p>
    <w:p w14:paraId="228DD936">
      <w:pPr>
        <w:spacing w:line="480" w:lineRule="exact"/>
        <w:rPr>
          <w:rFonts w:hint="eastAsia" w:ascii="宋体" w:hAnsi="宋体" w:cs="微软雅黑"/>
          <w:sz w:val="24"/>
          <w:szCs w:val="24"/>
        </w:rPr>
      </w:pPr>
      <w:r>
        <w:rPr>
          <w:rFonts w:hint="eastAsia" w:ascii="宋体" w:hAnsi="宋体" w:cs="微软雅黑"/>
          <w:sz w:val="24"/>
          <w:szCs w:val="24"/>
        </w:rPr>
        <w:t>7. 曾给</w:t>
      </w:r>
      <w:r>
        <w:rPr>
          <w:rFonts w:hint="eastAsia" w:ascii="宋体" w:hAnsi="宋体" w:cs="微软雅黑"/>
          <w:b/>
          <w:sz w:val="24"/>
          <w:szCs w:val="24"/>
        </w:rPr>
        <w:t>时代华商、清华商学院、深圳时代光华、嘉兴精益研究院、中培网、广培网</w:t>
      </w:r>
      <w:r>
        <w:rPr>
          <w:rFonts w:hint="eastAsia" w:ascii="宋体" w:hAnsi="宋体" w:cs="微软雅黑"/>
          <w:sz w:val="24"/>
          <w:szCs w:val="24"/>
        </w:rPr>
        <w:t>讲授《现场改善与生产效率提升》、《</w:t>
      </w:r>
      <w:r>
        <w:rPr>
          <w:rFonts w:ascii="宋体" w:hAnsi="宋体" w:cs="微软雅黑"/>
          <w:sz w:val="24"/>
          <w:szCs w:val="24"/>
        </w:rPr>
        <w:t>TPM</w:t>
      </w:r>
      <w:r>
        <w:rPr>
          <w:rFonts w:hint="eastAsia" w:ascii="宋体" w:hAnsi="宋体" w:cs="微软雅黑"/>
          <w:sz w:val="24"/>
          <w:szCs w:val="24"/>
        </w:rPr>
        <w:t>生产设备管理与维护》、《</w:t>
      </w:r>
      <w:r>
        <w:rPr>
          <w:rFonts w:ascii="宋体" w:hAnsi="宋体" w:cs="微软雅黑"/>
          <w:sz w:val="24"/>
          <w:szCs w:val="24"/>
        </w:rPr>
        <w:t>TQM</w:t>
      </w:r>
      <w:r>
        <w:rPr>
          <w:rFonts w:hint="eastAsia" w:ascii="宋体" w:hAnsi="宋体" w:cs="微软雅黑"/>
          <w:sz w:val="24"/>
          <w:szCs w:val="24"/>
        </w:rPr>
        <w:t>全面优质管理》</w:t>
      </w:r>
      <w:r>
        <w:rPr>
          <w:rFonts w:hint="eastAsia" w:ascii="宋体" w:hAnsi="宋体" w:cs="微软雅黑"/>
          <w:b/>
          <w:bCs/>
          <w:sz w:val="28"/>
          <w:szCs w:val="28"/>
        </w:rPr>
        <w:t>公开课</w:t>
      </w:r>
      <w:r>
        <w:rPr>
          <w:rFonts w:hint="eastAsia" w:ascii="宋体" w:hAnsi="宋体" w:cs="微软雅黑"/>
          <w:b/>
          <w:sz w:val="24"/>
          <w:szCs w:val="24"/>
        </w:rPr>
        <w:t>上百场</w:t>
      </w:r>
      <w:r>
        <w:rPr>
          <w:rFonts w:hint="eastAsia" w:ascii="宋体" w:hAnsi="宋体" w:cs="微软雅黑"/>
          <w:sz w:val="24"/>
          <w:szCs w:val="24"/>
        </w:rPr>
        <w:t>，累计服务学员</w:t>
      </w:r>
      <w:r>
        <w:rPr>
          <w:rFonts w:ascii="宋体" w:hAnsi="宋体" w:cs="微软雅黑"/>
          <w:sz w:val="24"/>
          <w:szCs w:val="24"/>
        </w:rPr>
        <w:t>1000+</w:t>
      </w:r>
    </w:p>
    <w:p w14:paraId="36D2BA9E">
      <w:pPr>
        <w:spacing w:line="480" w:lineRule="exact"/>
        <w:rPr>
          <w:rFonts w:hint="eastAsia" w:ascii="宋体" w:hAnsi="宋体" w:cs="微软雅黑"/>
          <w:sz w:val="24"/>
          <w:szCs w:val="24"/>
        </w:rPr>
      </w:pPr>
    </w:p>
    <w:p w14:paraId="4D4E1C9C">
      <w:pPr>
        <w:spacing w:line="480" w:lineRule="exact"/>
        <w:rPr>
          <w:rFonts w:hint="eastAsia" w:ascii="宋体" w:hAnsi="宋体" w:cs="微软雅黑"/>
          <w:b/>
          <w:bCs/>
          <w:sz w:val="24"/>
          <w:szCs w:val="24"/>
        </w:rPr>
      </w:pPr>
      <w:r>
        <w:rPr>
          <w:rFonts w:hint="eastAsia" w:ascii="宋体" w:hAnsi="宋体" w:cs="微软雅黑"/>
          <w:b/>
          <w:bCs/>
          <w:sz w:val="24"/>
          <w:szCs w:val="24"/>
        </w:rPr>
        <w:t>部分咨询案例：</w:t>
      </w:r>
    </w:p>
    <w:p w14:paraId="18AC03DA">
      <w:pPr>
        <w:widowControl/>
        <w:spacing w:line="480" w:lineRule="exact"/>
        <w:jc w:val="left"/>
        <w:rPr>
          <w:rFonts w:hint="eastAsia" w:ascii="宋体" w:hAnsi="宋体" w:cs="宋体"/>
          <w:b/>
          <w:bCs/>
          <w:kern w:val="0"/>
          <w:sz w:val="24"/>
          <w:szCs w:val="24"/>
          <w:lang w:bidi="ar"/>
        </w:rPr>
      </w:pPr>
      <w:r>
        <w:rPr>
          <w:rFonts w:hint="eastAsia" w:ascii="宋体" w:hAnsi="宋体" w:cs="微软雅黑"/>
          <w:b/>
          <w:sz w:val="24"/>
          <w:szCs w:val="24"/>
        </w:rPr>
        <w:t>1. 深圳市喜德盛自行车有限公司：</w:t>
      </w:r>
      <w:r>
        <w:rPr>
          <w:rFonts w:ascii="宋体" w:hAnsi="宋体" w:cs="宋体"/>
          <w:b/>
          <w:bCs/>
          <w:kern w:val="0"/>
          <w:sz w:val="24"/>
          <w:szCs w:val="24"/>
          <w:lang w:bidi="ar"/>
        </w:rPr>
        <w:t>3次</w:t>
      </w:r>
      <w:r>
        <w:rPr>
          <w:rFonts w:ascii="宋体" w:hAnsi="宋体" w:cs="宋体"/>
          <w:kern w:val="0"/>
          <w:sz w:val="24"/>
          <w:szCs w:val="24"/>
          <w:lang w:bidi="ar"/>
        </w:rPr>
        <w:t>辅导绩效薪资优化、品质降本、现场改善；助力企业从800人1个工业园发展为6000人5个工业园，成行业标杆，</w:t>
      </w:r>
      <w:r>
        <w:rPr>
          <w:rFonts w:ascii="宋体" w:hAnsi="宋体" w:cs="宋体"/>
          <w:b/>
          <w:bCs/>
          <w:kern w:val="0"/>
          <w:sz w:val="24"/>
          <w:szCs w:val="24"/>
          <w:lang w:bidi="ar"/>
        </w:rPr>
        <w:t>带动行业生产效率提升超30%。</w:t>
      </w:r>
    </w:p>
    <w:p w14:paraId="51A4501A">
      <w:pPr>
        <w:widowControl/>
        <w:spacing w:line="480" w:lineRule="exact"/>
        <w:jc w:val="left"/>
        <w:rPr>
          <w:rFonts w:hint="eastAsia" w:ascii="宋体" w:hAnsi="宋体" w:cs="宋体"/>
          <w:kern w:val="0"/>
          <w:sz w:val="24"/>
          <w:szCs w:val="24"/>
          <w:lang w:bidi="ar"/>
        </w:rPr>
      </w:pPr>
      <w:r>
        <w:rPr>
          <w:rFonts w:hint="eastAsia" w:ascii="宋体" w:hAnsi="宋体" w:cs="微软雅黑"/>
          <w:b/>
          <w:sz w:val="24"/>
          <w:szCs w:val="24"/>
        </w:rPr>
        <w:t>2. 多彩科技（深圳）有限公司：</w:t>
      </w:r>
      <w:r>
        <w:rPr>
          <w:rFonts w:ascii="宋体" w:hAnsi="宋体" w:cs="宋体"/>
          <w:b/>
          <w:bCs/>
          <w:kern w:val="0"/>
          <w:sz w:val="24"/>
          <w:szCs w:val="24"/>
          <w:lang w:bidi="ar"/>
        </w:rPr>
        <w:t>3次</w:t>
      </w:r>
      <w:r>
        <w:rPr>
          <w:rFonts w:ascii="宋体" w:hAnsi="宋体" w:cs="宋体"/>
          <w:kern w:val="0"/>
          <w:sz w:val="24"/>
          <w:szCs w:val="24"/>
          <w:lang w:bidi="ar"/>
        </w:rPr>
        <w:t>辅导基础工程建设、物流产线设计、研发流程重组，常年返聘管理培训；规范干部管理，成效获各级干部认可。</w:t>
      </w:r>
    </w:p>
    <w:p w14:paraId="084BD628">
      <w:pPr>
        <w:widowControl/>
        <w:spacing w:line="480" w:lineRule="exact"/>
        <w:jc w:val="left"/>
        <w:rPr>
          <w:rFonts w:hint="eastAsia" w:ascii="宋体" w:hAnsi="宋体" w:cs="宋体"/>
          <w:kern w:val="0"/>
          <w:sz w:val="24"/>
          <w:szCs w:val="24"/>
          <w:lang w:bidi="ar"/>
        </w:rPr>
      </w:pPr>
      <w:r>
        <w:rPr>
          <w:rFonts w:hint="eastAsia" w:ascii="宋体" w:hAnsi="宋体" w:cs="微软雅黑"/>
          <w:b/>
          <w:sz w:val="24"/>
          <w:szCs w:val="24"/>
        </w:rPr>
        <w:t>3. 珠海世錩金属有限公司：连</w:t>
      </w:r>
      <w:r>
        <w:rPr>
          <w:rFonts w:ascii="宋体" w:hAnsi="宋体" w:cs="宋体"/>
          <w:b/>
          <w:kern w:val="0"/>
          <w:sz w:val="24"/>
          <w:szCs w:val="24"/>
          <w:lang w:bidi="ar"/>
        </w:rPr>
        <w:t>4次</w:t>
      </w:r>
      <w:r>
        <w:rPr>
          <w:rFonts w:ascii="宋体" w:hAnsi="宋体" w:cs="宋体"/>
          <w:kern w:val="0"/>
          <w:sz w:val="24"/>
          <w:szCs w:val="24"/>
          <w:lang w:bidi="ar"/>
        </w:rPr>
        <w:t>辅导生产运营；生产效率从</w:t>
      </w:r>
      <w:r>
        <w:rPr>
          <w:rFonts w:ascii="宋体" w:hAnsi="宋体" w:cs="宋体"/>
          <w:b/>
          <w:bCs/>
          <w:kern w:val="0"/>
          <w:sz w:val="24"/>
          <w:szCs w:val="24"/>
          <w:lang w:bidi="ar"/>
        </w:rPr>
        <w:t>38%</w:t>
      </w:r>
      <w:r>
        <w:rPr>
          <w:rFonts w:ascii="宋体" w:hAnsi="宋体" w:cs="宋体"/>
          <w:kern w:val="0"/>
          <w:sz w:val="24"/>
          <w:szCs w:val="24"/>
          <w:lang w:bidi="ar"/>
        </w:rPr>
        <w:t>提至</w:t>
      </w:r>
      <w:r>
        <w:rPr>
          <w:rFonts w:ascii="宋体" w:hAnsi="宋体" w:cs="宋体"/>
          <w:b/>
          <w:bCs/>
          <w:kern w:val="0"/>
          <w:sz w:val="24"/>
          <w:szCs w:val="24"/>
          <w:lang w:bidi="ar"/>
        </w:rPr>
        <w:t>85%</w:t>
      </w:r>
      <w:r>
        <w:rPr>
          <w:rFonts w:ascii="宋体" w:hAnsi="宋体" w:cs="宋体"/>
          <w:kern w:val="0"/>
          <w:sz w:val="24"/>
          <w:szCs w:val="24"/>
          <w:lang w:bidi="ar"/>
        </w:rPr>
        <w:t>，人均月产值从2万升至5万，交货周期从60天缩至45天，完善ERP固化管理，企业发展为4家公司6000人，年产值超</w:t>
      </w:r>
      <w:r>
        <w:rPr>
          <w:rFonts w:ascii="宋体" w:hAnsi="宋体" w:cs="宋体"/>
          <w:b/>
          <w:bCs/>
          <w:kern w:val="0"/>
          <w:sz w:val="24"/>
          <w:szCs w:val="24"/>
          <w:lang w:bidi="ar"/>
        </w:rPr>
        <w:t>10亿</w:t>
      </w:r>
      <w:r>
        <w:rPr>
          <w:rFonts w:ascii="宋体" w:hAnsi="宋体" w:cs="宋体"/>
          <w:kern w:val="0"/>
          <w:sz w:val="24"/>
          <w:szCs w:val="24"/>
          <w:lang w:bidi="ar"/>
        </w:rPr>
        <w:t>。</w:t>
      </w:r>
    </w:p>
    <w:p w14:paraId="62FD80B0">
      <w:pPr>
        <w:widowControl/>
        <w:spacing w:line="480" w:lineRule="exact"/>
        <w:jc w:val="left"/>
        <w:rPr>
          <w:rFonts w:hint="eastAsia" w:ascii="宋体" w:hAnsi="宋体" w:cs="宋体"/>
          <w:b/>
          <w:bCs/>
          <w:kern w:val="0"/>
          <w:sz w:val="24"/>
          <w:szCs w:val="24"/>
          <w:lang w:bidi="ar"/>
        </w:rPr>
      </w:pPr>
      <w:r>
        <w:rPr>
          <w:rFonts w:hint="eastAsia" w:ascii="宋体" w:hAnsi="宋体" w:cs="微软雅黑"/>
          <w:b/>
          <w:sz w:val="24"/>
          <w:szCs w:val="24"/>
        </w:rPr>
        <w:t>4. 维珍妮国际：</w:t>
      </w:r>
      <w:r>
        <w:rPr>
          <w:rFonts w:ascii="宋体" w:hAnsi="宋体" w:cs="宋体"/>
          <w:kern w:val="0"/>
          <w:sz w:val="24"/>
          <w:szCs w:val="24"/>
          <w:lang w:bidi="ar"/>
        </w:rPr>
        <w:t>2年辅导流程与组织架构垂直整合；作业周期从90天缩至60天，搭建产品与客户导向架构，助力SAP系统成功上线，</w:t>
      </w:r>
      <w:r>
        <w:rPr>
          <w:rFonts w:ascii="宋体" w:hAnsi="宋体" w:cs="宋体"/>
          <w:b/>
          <w:bCs/>
          <w:kern w:val="0"/>
          <w:sz w:val="24"/>
          <w:szCs w:val="24"/>
          <w:lang w:bidi="ar"/>
        </w:rPr>
        <w:t>咨询满意度98%。</w:t>
      </w:r>
    </w:p>
    <w:p w14:paraId="2EDF3122">
      <w:pPr>
        <w:widowControl/>
        <w:spacing w:line="480" w:lineRule="exact"/>
        <w:jc w:val="left"/>
        <w:rPr>
          <w:rFonts w:hint="eastAsia" w:ascii="宋体" w:hAnsi="宋体" w:cs="宋体"/>
          <w:kern w:val="0"/>
          <w:sz w:val="24"/>
          <w:szCs w:val="24"/>
          <w:lang w:bidi="ar"/>
        </w:rPr>
      </w:pPr>
      <w:r>
        <w:rPr>
          <w:rFonts w:hint="eastAsia" w:ascii="宋体" w:hAnsi="宋体" w:cs="微软雅黑"/>
          <w:b/>
          <w:sz w:val="24"/>
          <w:szCs w:val="24"/>
        </w:rPr>
        <w:t>5. 成霖洁具：</w:t>
      </w:r>
      <w:r>
        <w:rPr>
          <w:rFonts w:hint="eastAsia" w:ascii="宋体" w:hAnsi="宋体" w:cs="微软雅黑"/>
          <w:bCs/>
          <w:sz w:val="24"/>
          <w:szCs w:val="24"/>
        </w:rPr>
        <w:t>作为霖旗首位大陆咨询顾问，</w:t>
      </w:r>
      <w:r>
        <w:rPr>
          <w:rFonts w:ascii="宋体" w:hAnsi="宋体" w:cs="宋体"/>
          <w:kern w:val="0"/>
          <w:sz w:val="24"/>
          <w:szCs w:val="24"/>
          <w:lang w:bidi="ar"/>
        </w:rPr>
        <w:t>规划长中短三类产线适配不同订单与产品；生产效率从65%提至88%，场地缩减20%，间接人员减少12%，规划理念全厂区沿用至今。</w:t>
      </w:r>
    </w:p>
    <w:p w14:paraId="3D5FD2F0">
      <w:pPr>
        <w:widowControl/>
        <w:spacing w:line="480" w:lineRule="exact"/>
        <w:jc w:val="left"/>
        <w:rPr>
          <w:rFonts w:hint="eastAsia" w:ascii="宋体" w:hAnsi="宋体" w:cs="宋体"/>
          <w:kern w:val="0"/>
          <w:sz w:val="24"/>
          <w:szCs w:val="24"/>
          <w:lang w:bidi="ar"/>
        </w:rPr>
      </w:pPr>
      <w:r>
        <w:rPr>
          <w:rFonts w:hint="eastAsia" w:ascii="宋体" w:hAnsi="宋体" w:cs="微软雅黑"/>
          <w:b/>
          <w:sz w:val="24"/>
          <w:szCs w:val="24"/>
        </w:rPr>
        <w:t>6. 万嘉门业：创造了仅用4个月完成了6个月的工作量的佳绩</w:t>
      </w:r>
      <w:r>
        <w:rPr>
          <w:rFonts w:hint="eastAsia" w:ascii="宋体" w:hAnsi="宋体" w:cs="微软雅黑"/>
          <w:sz w:val="24"/>
          <w:szCs w:val="24"/>
        </w:rPr>
        <w:t>，</w:t>
      </w:r>
      <w:r>
        <w:rPr>
          <w:rFonts w:ascii="宋体" w:hAnsi="宋体" w:cs="宋体"/>
          <w:kern w:val="0"/>
          <w:sz w:val="24"/>
          <w:szCs w:val="24"/>
          <w:lang w:bidi="ar"/>
        </w:rPr>
        <w:t>4个月完成6个月工作量；准时交货率从35%提至95%，客诉率从40%降至5%，培养核心生产干部，课程受400人追捧。</w:t>
      </w:r>
    </w:p>
    <w:p w14:paraId="5926956B">
      <w:pPr>
        <w:widowControl/>
        <w:spacing w:line="480" w:lineRule="exact"/>
        <w:jc w:val="left"/>
        <w:rPr>
          <w:rFonts w:hint="eastAsia"/>
        </w:rPr>
      </w:pPr>
      <w:r>
        <w:rPr>
          <w:rFonts w:hint="eastAsia" w:ascii="宋体" w:hAnsi="宋体" w:cs="微软雅黑"/>
          <w:b/>
          <w:sz w:val="24"/>
          <w:szCs w:val="24"/>
        </w:rPr>
        <w:t>7. 得理乐器：</w:t>
      </w:r>
      <w:r>
        <w:rPr>
          <w:rFonts w:ascii="宋体" w:hAnsi="宋体" w:cs="宋体"/>
          <w:b/>
          <w:bCs/>
          <w:kern w:val="0"/>
          <w:sz w:val="24"/>
          <w:szCs w:val="24"/>
          <w:lang w:bidi="ar"/>
        </w:rPr>
        <w:t>4年驻厂辅导多厂区运营；</w:t>
      </w:r>
      <w:r>
        <w:rPr>
          <w:rFonts w:ascii="宋体" w:hAnsi="宋体" w:cs="宋体"/>
          <w:kern w:val="0"/>
          <w:sz w:val="24"/>
          <w:szCs w:val="24"/>
          <w:lang w:bidi="ar"/>
        </w:rPr>
        <w:t>生产效率从45%提至80%，人均月产值从2万升至4.5万，不良率从8%降至0.3%，塑造特色企业文化提升竞争力。</w:t>
      </w:r>
    </w:p>
    <w:p w14:paraId="383F0C41">
      <w:pPr>
        <w:widowControl/>
        <w:spacing w:line="480" w:lineRule="exact"/>
        <w:jc w:val="left"/>
      </w:pPr>
      <w:r>
        <w:rPr>
          <w:rFonts w:hint="eastAsia" w:ascii="宋体" w:hAnsi="宋体" w:cs="微软雅黑"/>
          <w:b/>
          <w:sz w:val="24"/>
          <w:szCs w:val="24"/>
        </w:rPr>
        <w:t>8. 舒美牙刷（宝洁牙刷大中华地区唯一供应商）：</w:t>
      </w:r>
      <w:r>
        <w:rPr>
          <w:rFonts w:ascii="宋体" w:hAnsi="宋体" w:cs="宋体"/>
          <w:kern w:val="0"/>
          <w:sz w:val="24"/>
          <w:szCs w:val="24"/>
          <w:lang w:bidi="ar"/>
        </w:rPr>
        <w:t>改造产销物料全流程满足宝洁要求，完善组织、薪酬等体系并开展持续培训；输出可复制运营模式，支撑企业内地发展。</w:t>
      </w:r>
    </w:p>
    <w:p w14:paraId="08601ED9">
      <w:pPr>
        <w:spacing w:line="480" w:lineRule="exact"/>
        <w:rPr>
          <w:rFonts w:hint="eastAsia" w:ascii="宋体" w:hAnsi="宋体" w:cs="微软雅黑"/>
          <w:b/>
          <w:bCs/>
          <w:sz w:val="24"/>
          <w:szCs w:val="24"/>
        </w:rPr>
      </w:pPr>
    </w:p>
    <w:p w14:paraId="24FD2426">
      <w:pPr>
        <w:spacing w:line="480" w:lineRule="exact"/>
        <w:rPr>
          <w:rFonts w:hint="eastAsia" w:ascii="宋体" w:hAnsi="宋体" w:cs="微软雅黑"/>
          <w:b/>
          <w:bCs/>
          <w:sz w:val="24"/>
          <w:szCs w:val="24"/>
        </w:rPr>
      </w:pPr>
      <w:r>
        <w:rPr>
          <w:rFonts w:hint="eastAsia" w:ascii="宋体" w:hAnsi="宋体" w:cs="微软雅黑"/>
          <w:b/>
          <w:bCs/>
          <w:sz w:val="24"/>
          <w:szCs w:val="24"/>
        </w:rPr>
        <w:t>咨询项目：</w:t>
      </w:r>
    </w:p>
    <w:p w14:paraId="1343ACFF">
      <w:pPr>
        <w:spacing w:line="480" w:lineRule="exact"/>
        <w:rPr>
          <w:rFonts w:hint="eastAsia" w:ascii="宋体" w:hAnsi="宋体" w:cs="微软雅黑"/>
          <w:sz w:val="24"/>
          <w:szCs w:val="24"/>
        </w:rPr>
      </w:pPr>
      <w:r>
        <w:rPr>
          <w:rFonts w:hint="eastAsia" w:ascii="宋体" w:hAnsi="宋体" w:cs="微软雅黑"/>
          <w:sz w:val="24"/>
          <w:szCs w:val="24"/>
        </w:rPr>
        <w:t>《产线布局规划及6S现场管理项目》</w:t>
      </w:r>
    </w:p>
    <w:p w14:paraId="0E0D62E9">
      <w:pPr>
        <w:spacing w:line="480" w:lineRule="exact"/>
        <w:rPr>
          <w:rFonts w:hint="eastAsia" w:ascii="宋体" w:hAnsi="宋体" w:cs="微软雅黑"/>
          <w:sz w:val="24"/>
          <w:szCs w:val="24"/>
        </w:rPr>
      </w:pPr>
      <w:r>
        <w:rPr>
          <w:rFonts w:hint="eastAsia" w:ascii="宋体" w:hAnsi="宋体" w:cs="微软雅黑"/>
          <w:sz w:val="24"/>
          <w:szCs w:val="24"/>
        </w:rPr>
        <w:t>《品质管理与品质改善咨询项目》</w:t>
      </w:r>
    </w:p>
    <w:p w14:paraId="7467D0E4">
      <w:pPr>
        <w:spacing w:line="480" w:lineRule="exact"/>
        <w:rPr>
          <w:rFonts w:hint="eastAsia" w:ascii="宋体" w:hAnsi="宋体" w:cs="微软雅黑"/>
          <w:sz w:val="24"/>
          <w:szCs w:val="24"/>
        </w:rPr>
      </w:pPr>
      <w:r>
        <w:rPr>
          <w:rFonts w:hint="eastAsia" w:ascii="宋体" w:hAnsi="宋体" w:cs="微软雅黑"/>
          <w:sz w:val="24"/>
          <w:szCs w:val="24"/>
        </w:rPr>
        <w:t>《成本管控系统构建咨询项目》</w:t>
      </w:r>
    </w:p>
    <w:p w14:paraId="25DB37DF">
      <w:pPr>
        <w:spacing w:line="480" w:lineRule="exact"/>
        <w:rPr>
          <w:rFonts w:hint="eastAsia" w:ascii="宋体" w:hAnsi="宋体" w:cs="微软雅黑"/>
          <w:sz w:val="24"/>
          <w:szCs w:val="24"/>
        </w:rPr>
      </w:pPr>
      <w:r>
        <w:rPr>
          <w:rFonts w:ascii="宋体" w:hAnsi="宋体" w:cs="微软雅黑"/>
          <w:sz w:val="24"/>
          <w:szCs w:val="24"/>
        </w:rPr>
        <w:t>《人力资源规划与建设项目咨询</w:t>
      </w:r>
      <w:r>
        <w:rPr>
          <w:rFonts w:hint="eastAsia" w:ascii="宋体" w:hAnsi="宋体" w:cs="微软雅黑"/>
          <w:sz w:val="24"/>
          <w:szCs w:val="24"/>
        </w:rPr>
        <w:t>》</w:t>
      </w:r>
    </w:p>
    <w:p w14:paraId="5D7E63AD">
      <w:pPr>
        <w:spacing w:line="480" w:lineRule="exact"/>
        <w:rPr>
          <w:rFonts w:hint="eastAsia" w:ascii="宋体" w:hAnsi="宋体" w:cs="微软雅黑"/>
          <w:sz w:val="24"/>
          <w:szCs w:val="24"/>
        </w:rPr>
      </w:pPr>
    </w:p>
    <w:p w14:paraId="7330FC4E">
      <w:pPr>
        <w:spacing w:line="480" w:lineRule="exact"/>
        <w:rPr>
          <w:rFonts w:hint="eastAsia" w:ascii="宋体" w:hAnsi="宋体" w:cs="微软雅黑"/>
          <w:b/>
          <w:bCs/>
          <w:sz w:val="24"/>
          <w:szCs w:val="24"/>
        </w:rPr>
      </w:pPr>
      <w:r>
        <w:rPr>
          <w:rFonts w:hint="eastAsia" w:ascii="宋体" w:hAnsi="宋体" w:cs="微软雅黑"/>
          <w:b/>
          <w:bCs/>
          <w:sz w:val="24"/>
          <w:szCs w:val="24"/>
        </w:rPr>
        <w:t>主讲课程：</w:t>
      </w:r>
    </w:p>
    <w:p w14:paraId="394C3545">
      <w:pPr>
        <w:spacing w:line="480" w:lineRule="exact"/>
        <w:rPr>
          <w:rFonts w:hint="eastAsia" w:ascii="宋体" w:hAnsi="宋体" w:cs="微软雅黑"/>
          <w:sz w:val="24"/>
          <w:szCs w:val="24"/>
        </w:rPr>
      </w:pPr>
      <w:r>
        <w:rPr>
          <w:rFonts w:hint="eastAsia" w:ascii="宋体" w:hAnsi="宋体" w:cs="微软雅黑"/>
          <w:sz w:val="24"/>
          <w:szCs w:val="24"/>
        </w:rPr>
        <w:t>《5S长效导入》</w:t>
      </w:r>
    </w:p>
    <w:p w14:paraId="3BA47880">
      <w:pPr>
        <w:spacing w:line="480" w:lineRule="exact"/>
        <w:rPr>
          <w:rFonts w:hint="eastAsia" w:ascii="宋体" w:hAnsi="宋体" w:cs="微软雅黑"/>
          <w:sz w:val="24"/>
          <w:szCs w:val="24"/>
        </w:rPr>
      </w:pPr>
      <w:r>
        <w:rPr>
          <w:rFonts w:hint="eastAsia" w:ascii="宋体" w:hAnsi="宋体" w:cs="微软雅黑"/>
          <w:sz w:val="24"/>
          <w:szCs w:val="24"/>
        </w:rPr>
        <w:t>《IE七大手法的运用》</w:t>
      </w:r>
    </w:p>
    <w:p w14:paraId="2FAF9793">
      <w:pPr>
        <w:spacing w:line="480" w:lineRule="exact"/>
        <w:rPr>
          <w:rFonts w:hint="eastAsia" w:ascii="宋体" w:hAnsi="宋体" w:cs="微软雅黑"/>
          <w:sz w:val="24"/>
          <w:szCs w:val="24"/>
        </w:rPr>
      </w:pPr>
      <w:r>
        <w:rPr>
          <w:rFonts w:hint="eastAsia" w:ascii="宋体" w:hAnsi="宋体" w:cs="微软雅黑"/>
          <w:sz w:val="24"/>
          <w:szCs w:val="24"/>
        </w:rPr>
        <w:t>《TPM全员生产维修》</w:t>
      </w:r>
    </w:p>
    <w:p w14:paraId="7E56AA68">
      <w:pPr>
        <w:spacing w:line="480" w:lineRule="exact"/>
        <w:rPr>
          <w:rFonts w:hint="eastAsia" w:ascii="宋体" w:hAnsi="宋体" w:cs="微软雅黑"/>
          <w:sz w:val="24"/>
          <w:szCs w:val="24"/>
        </w:rPr>
      </w:pPr>
      <w:r>
        <w:rPr>
          <w:rFonts w:hint="eastAsia" w:ascii="宋体" w:hAnsi="宋体" w:cs="微软雅黑"/>
          <w:sz w:val="24"/>
          <w:szCs w:val="24"/>
        </w:rPr>
        <w:t>《班组长管理技能提升》</w:t>
      </w:r>
    </w:p>
    <w:p w14:paraId="5DD446F9">
      <w:pPr>
        <w:spacing w:line="480" w:lineRule="exact"/>
        <w:rPr>
          <w:rFonts w:hint="eastAsia" w:ascii="宋体" w:hAnsi="宋体" w:cs="微软雅黑"/>
          <w:sz w:val="24"/>
          <w:szCs w:val="24"/>
        </w:rPr>
      </w:pPr>
      <w:r>
        <w:rPr>
          <w:rFonts w:hint="eastAsia" w:ascii="宋体" w:hAnsi="宋体" w:cs="微软雅黑"/>
          <w:sz w:val="24"/>
          <w:szCs w:val="24"/>
        </w:rPr>
        <w:t>《精益生产LP》</w:t>
      </w:r>
    </w:p>
    <w:p w14:paraId="33B3AD94">
      <w:pPr>
        <w:spacing w:line="480" w:lineRule="exact"/>
        <w:rPr>
          <w:rFonts w:hint="eastAsia" w:ascii="宋体" w:hAnsi="宋体" w:cs="微软雅黑"/>
          <w:sz w:val="24"/>
          <w:szCs w:val="24"/>
        </w:rPr>
      </w:pPr>
      <w:r>
        <w:rPr>
          <w:rFonts w:hint="eastAsia" w:ascii="宋体" w:hAnsi="宋体" w:cs="微软雅黑"/>
          <w:sz w:val="24"/>
          <w:szCs w:val="24"/>
        </w:rPr>
        <w:t>《品质管理与品质改善TQM实战》</w:t>
      </w:r>
    </w:p>
    <w:p w14:paraId="0F16C88E">
      <w:pPr>
        <w:spacing w:line="480" w:lineRule="exact"/>
        <w:rPr>
          <w:rFonts w:hint="eastAsia" w:ascii="宋体" w:hAnsi="宋体" w:cs="微软雅黑"/>
          <w:sz w:val="24"/>
          <w:szCs w:val="24"/>
        </w:rPr>
      </w:pPr>
      <w:r>
        <w:rPr>
          <w:rFonts w:hint="eastAsia" w:ascii="宋体" w:hAnsi="宋体" w:cs="微软雅黑"/>
          <w:sz w:val="24"/>
          <w:szCs w:val="24"/>
        </w:rPr>
        <w:t>《生产计划与物料控制》</w:t>
      </w:r>
    </w:p>
    <w:p w14:paraId="7818B57E">
      <w:pPr>
        <w:spacing w:line="480" w:lineRule="exact"/>
        <w:rPr>
          <w:rFonts w:ascii="宋体" w:hAnsi="宋体" w:cs="微软雅黑"/>
          <w:sz w:val="24"/>
          <w:szCs w:val="24"/>
        </w:rPr>
      </w:pPr>
      <w:r>
        <w:rPr>
          <w:rFonts w:hint="eastAsia" w:ascii="宋体" w:hAnsi="宋体" w:cs="微软雅黑"/>
          <w:sz w:val="24"/>
          <w:szCs w:val="24"/>
        </w:rPr>
        <w:t>《现场改善与生产效率提升》</w:t>
      </w:r>
    </w:p>
    <w:p w14:paraId="27F89ACE">
      <w:pPr>
        <w:spacing w:line="480" w:lineRule="exact"/>
        <w:rPr>
          <w:rFonts w:hint="eastAsia" w:ascii="宋体" w:hAnsi="宋体" w:cs="微软雅黑"/>
          <w:sz w:val="24"/>
          <w:szCs w:val="24"/>
        </w:rPr>
      </w:pPr>
    </w:p>
    <w:p w14:paraId="0757A8CE">
      <w:pPr>
        <w:spacing w:line="480" w:lineRule="exact"/>
        <w:rPr>
          <w:rFonts w:hint="eastAsia" w:ascii="宋体" w:hAnsi="宋体" w:cs="微软雅黑"/>
          <w:b/>
          <w:bCs/>
          <w:sz w:val="24"/>
          <w:szCs w:val="24"/>
        </w:rPr>
      </w:pPr>
      <w:r>
        <w:rPr>
          <w:rFonts w:hint="eastAsia" w:ascii="宋体" w:hAnsi="宋体" w:cs="微软雅黑"/>
          <w:b/>
          <w:bCs/>
          <w:sz w:val="24"/>
          <w:szCs w:val="24"/>
        </w:rPr>
        <w:t>授课风格：</w:t>
      </w:r>
      <w:bookmarkStart w:id="1" w:name="_GoBack"/>
      <w:bookmarkEnd w:id="1"/>
    </w:p>
    <w:p w14:paraId="48F3A3C1">
      <w:pPr>
        <w:spacing w:line="480" w:lineRule="exact"/>
        <w:rPr>
          <w:rFonts w:hint="eastAsia" w:ascii="宋体" w:hAnsi="宋体" w:cs="微软雅黑"/>
          <w:sz w:val="24"/>
          <w:szCs w:val="24"/>
        </w:rPr>
      </w:pPr>
      <w:r>
        <w:rPr>
          <w:rFonts w:hint="eastAsia" w:ascii="宋体" w:hAnsi="宋体" w:cs="微软雅黑"/>
          <w:b/>
          <w:bCs/>
          <w:sz w:val="24"/>
          <w:szCs w:val="24"/>
        </w:rPr>
        <w:t>40%</w:t>
      </w:r>
      <w:r>
        <w:rPr>
          <w:rFonts w:hint="eastAsia" w:ascii="宋体" w:hAnsi="宋体" w:cs="微软雅黑"/>
          <w:sz w:val="24"/>
          <w:szCs w:val="24"/>
        </w:rPr>
        <w:t>的课程讲授；</w:t>
      </w:r>
      <w:r>
        <w:rPr>
          <w:rFonts w:hint="eastAsia" w:ascii="宋体" w:hAnsi="宋体" w:cs="微软雅黑"/>
          <w:b/>
          <w:bCs/>
          <w:sz w:val="24"/>
          <w:szCs w:val="24"/>
        </w:rPr>
        <w:t>30%</w:t>
      </w:r>
      <w:r>
        <w:rPr>
          <w:rFonts w:hint="eastAsia" w:ascii="宋体" w:hAnsi="宋体" w:cs="微软雅黑"/>
          <w:sz w:val="24"/>
          <w:szCs w:val="24"/>
        </w:rPr>
        <w:t>的案例分析；</w:t>
      </w:r>
      <w:r>
        <w:rPr>
          <w:rFonts w:hint="eastAsia" w:ascii="宋体" w:hAnsi="宋体" w:cs="微软雅黑"/>
          <w:b/>
          <w:bCs/>
          <w:sz w:val="24"/>
          <w:szCs w:val="24"/>
        </w:rPr>
        <w:t>30%</w:t>
      </w:r>
      <w:r>
        <w:rPr>
          <w:rFonts w:hint="eastAsia" w:ascii="宋体" w:hAnsi="宋体" w:cs="微软雅黑"/>
          <w:sz w:val="24"/>
          <w:szCs w:val="24"/>
        </w:rPr>
        <w:t>的分组演练与点评；信奉好的课程是设计出来的，课件内容包括讲义，试题，标准答案，互动案例设计，点评角度设计，运用操作手册等六大部分，充满激情与抑扬顿挫的演讲非常具有冲击力，多年的咨询业经验和丰富的案例使杨老师的课程充满实用性和实战性。</w:t>
      </w:r>
    </w:p>
    <w:p w14:paraId="6E5DE3E8">
      <w:pPr>
        <w:spacing w:line="480" w:lineRule="exact"/>
        <w:rPr>
          <w:rFonts w:hint="eastAsia" w:ascii="宋体" w:hAnsi="宋体" w:cs="微软雅黑"/>
          <w:b/>
          <w:bCs/>
          <w:sz w:val="24"/>
          <w:szCs w:val="24"/>
        </w:rPr>
      </w:pPr>
    </w:p>
    <w:p w14:paraId="22FD38B7">
      <w:pPr>
        <w:spacing w:line="480" w:lineRule="exact"/>
        <w:rPr>
          <w:rFonts w:hint="eastAsia" w:ascii="宋体" w:hAnsi="宋体" w:cs="微软雅黑"/>
          <w:b/>
          <w:bCs/>
          <w:sz w:val="24"/>
          <w:szCs w:val="24"/>
        </w:rPr>
      </w:pPr>
      <w:r>
        <w:rPr>
          <w:rFonts w:hint="eastAsia" w:ascii="宋体" w:hAnsi="宋体" w:cs="微软雅黑"/>
          <w:b/>
          <w:bCs/>
          <w:sz w:val="24"/>
          <w:szCs w:val="24"/>
        </w:rPr>
        <w:t>学员评价：</w:t>
      </w:r>
    </w:p>
    <w:p w14:paraId="67757AA7">
      <w:pPr>
        <w:tabs>
          <w:tab w:val="left" w:pos="270"/>
        </w:tabs>
        <w:spacing w:line="480" w:lineRule="exact"/>
        <w:rPr>
          <w:rFonts w:hint="eastAsia" w:ascii="宋体" w:hAnsi="宋体" w:cs="微软雅黑"/>
          <w:sz w:val="24"/>
          <w:szCs w:val="24"/>
        </w:rPr>
      </w:pPr>
      <w:r>
        <w:rPr>
          <w:rFonts w:hint="eastAsia" w:ascii="宋体" w:hAnsi="宋体" w:cs="微软雅黑"/>
          <w:b/>
          <w:bCs/>
          <w:sz w:val="24"/>
          <w:szCs w:val="24"/>
        </w:rPr>
        <w:t>实战，实用，实在</w:t>
      </w:r>
      <w:r>
        <w:rPr>
          <w:rFonts w:hint="eastAsia" w:ascii="宋体" w:hAnsi="宋体" w:cs="微软雅黑"/>
          <w:sz w:val="24"/>
          <w:szCs w:val="24"/>
        </w:rPr>
        <w:t>，杨老师的课程使我们受益非浅；</w:t>
      </w:r>
    </w:p>
    <w:p w14:paraId="20EF3F06">
      <w:pPr>
        <w:tabs>
          <w:tab w:val="left" w:pos="270"/>
        </w:tabs>
        <w:spacing w:line="480" w:lineRule="exact"/>
        <w:jc w:val="right"/>
        <w:rPr>
          <w:rFonts w:hint="eastAsia" w:ascii="宋体" w:hAnsi="宋体" w:cs="微软雅黑"/>
          <w:b/>
          <w:bCs/>
          <w:sz w:val="24"/>
          <w:szCs w:val="24"/>
        </w:rPr>
      </w:pPr>
      <w:r>
        <w:rPr>
          <w:rFonts w:hint="eastAsia" w:ascii="宋体" w:hAnsi="宋体"/>
          <w:b/>
          <w:bCs/>
          <w:color w:val="000000" w:themeColor="text1"/>
          <w:sz w:val="24"/>
          <w:szCs w:val="24"/>
          <w14:textFill>
            <w14:solidFill>
              <w14:schemeClr w14:val="tx1"/>
            </w14:solidFill>
          </w14:textFill>
        </w:rPr>
        <w:t>——</w:t>
      </w:r>
      <w:r>
        <w:rPr>
          <w:rFonts w:hint="eastAsia" w:ascii="宋体" w:hAnsi="宋体" w:cs="微软雅黑"/>
          <w:b/>
          <w:bCs/>
          <w:sz w:val="24"/>
          <w:szCs w:val="24"/>
        </w:rPr>
        <w:t>某服装工厂总经理</w:t>
      </w:r>
    </w:p>
    <w:p w14:paraId="1551814E">
      <w:pPr>
        <w:tabs>
          <w:tab w:val="left" w:pos="270"/>
        </w:tabs>
        <w:spacing w:line="480" w:lineRule="exact"/>
        <w:rPr>
          <w:rFonts w:hint="eastAsia" w:ascii="宋体" w:hAnsi="宋体" w:cs="微软雅黑"/>
          <w:sz w:val="24"/>
          <w:szCs w:val="24"/>
        </w:rPr>
      </w:pPr>
      <w:r>
        <w:rPr>
          <w:rFonts w:hint="eastAsia" w:ascii="宋体" w:hAnsi="宋体" w:cs="微软雅黑"/>
          <w:sz w:val="24"/>
          <w:szCs w:val="24"/>
        </w:rPr>
        <w:t>不是沙盘模拟，也不是军事演习，杨老师给我们展示的是制造业工厂每天都在发生的硝烟弥漫的战争，并教会了我们如何赢得胜利；</w:t>
      </w:r>
    </w:p>
    <w:p w14:paraId="72DA42AF">
      <w:pPr>
        <w:tabs>
          <w:tab w:val="left" w:pos="270"/>
        </w:tabs>
        <w:spacing w:line="480" w:lineRule="exact"/>
        <w:jc w:val="right"/>
        <w:rPr>
          <w:rFonts w:hint="eastAsia" w:ascii="宋体" w:hAnsi="宋体" w:cs="微软雅黑"/>
          <w:b/>
          <w:bCs/>
          <w:sz w:val="24"/>
          <w:szCs w:val="24"/>
        </w:rPr>
      </w:pPr>
      <w:r>
        <w:rPr>
          <w:rFonts w:hint="eastAsia" w:ascii="宋体" w:hAnsi="宋体"/>
          <w:b/>
          <w:bCs/>
          <w:color w:val="000000" w:themeColor="text1"/>
          <w:sz w:val="24"/>
          <w:szCs w:val="24"/>
          <w14:textFill>
            <w14:solidFill>
              <w14:schemeClr w14:val="tx1"/>
            </w14:solidFill>
          </w14:textFill>
        </w:rPr>
        <w:t>——</w:t>
      </w:r>
      <w:r>
        <w:rPr>
          <w:rFonts w:hint="eastAsia" w:ascii="宋体" w:hAnsi="宋体" w:cs="微软雅黑"/>
          <w:b/>
          <w:bCs/>
          <w:sz w:val="24"/>
          <w:szCs w:val="24"/>
        </w:rPr>
        <w:t>某自行车工厂总经理</w:t>
      </w:r>
    </w:p>
    <w:p w14:paraId="3A3D1A00">
      <w:pPr>
        <w:tabs>
          <w:tab w:val="left" w:pos="270"/>
        </w:tabs>
        <w:spacing w:line="480" w:lineRule="exact"/>
        <w:rPr>
          <w:rFonts w:hint="eastAsia" w:ascii="宋体" w:hAnsi="宋体" w:cs="微软雅黑"/>
          <w:sz w:val="24"/>
          <w:szCs w:val="24"/>
        </w:rPr>
      </w:pPr>
      <w:r>
        <w:rPr>
          <w:rFonts w:hint="eastAsia" w:ascii="宋体" w:hAnsi="宋体" w:cs="微软雅黑"/>
          <w:sz w:val="24"/>
          <w:szCs w:val="24"/>
        </w:rPr>
        <w:t>良师益友，杨老师授课后良好的售后服务让我们感动；</w:t>
      </w:r>
    </w:p>
    <w:p w14:paraId="551B5787">
      <w:pPr>
        <w:tabs>
          <w:tab w:val="left" w:pos="270"/>
        </w:tabs>
        <w:spacing w:line="480" w:lineRule="exact"/>
        <w:jc w:val="right"/>
        <w:rPr>
          <w:rFonts w:hint="eastAsia" w:ascii="宋体" w:hAnsi="宋体" w:cs="微软雅黑"/>
          <w:b/>
          <w:bCs/>
          <w:sz w:val="24"/>
          <w:szCs w:val="24"/>
        </w:rPr>
      </w:pPr>
      <w:r>
        <w:rPr>
          <w:rFonts w:hint="eastAsia" w:ascii="宋体" w:hAnsi="宋体"/>
          <w:b/>
          <w:bCs/>
          <w:color w:val="000000" w:themeColor="text1"/>
          <w:sz w:val="24"/>
          <w:szCs w:val="24"/>
          <w14:textFill>
            <w14:solidFill>
              <w14:schemeClr w14:val="tx1"/>
            </w14:solidFill>
          </w14:textFill>
        </w:rPr>
        <w:t>——</w:t>
      </w:r>
      <w:r>
        <w:rPr>
          <w:rFonts w:hint="eastAsia" w:ascii="宋体" w:hAnsi="宋体" w:cs="微软雅黑"/>
          <w:b/>
          <w:bCs/>
          <w:sz w:val="24"/>
          <w:szCs w:val="24"/>
        </w:rPr>
        <w:t>某建材企业董事长</w:t>
      </w:r>
    </w:p>
    <w:p w14:paraId="14F9B49B">
      <w:pPr>
        <w:tabs>
          <w:tab w:val="left" w:pos="270"/>
        </w:tabs>
        <w:spacing w:line="480" w:lineRule="exact"/>
        <w:rPr>
          <w:rFonts w:hint="eastAsia" w:ascii="宋体" w:hAnsi="宋体" w:cs="微软雅黑"/>
          <w:sz w:val="24"/>
          <w:szCs w:val="24"/>
        </w:rPr>
      </w:pPr>
      <w:r>
        <w:rPr>
          <w:rFonts w:hint="eastAsia" w:ascii="宋体" w:hAnsi="宋体" w:cs="微软雅黑"/>
          <w:sz w:val="24"/>
          <w:szCs w:val="24"/>
        </w:rPr>
        <w:t>职业精神与师长风范令人敬佩；</w:t>
      </w:r>
    </w:p>
    <w:p w14:paraId="4A925AA0">
      <w:pPr>
        <w:tabs>
          <w:tab w:val="left" w:pos="270"/>
        </w:tabs>
        <w:spacing w:line="480" w:lineRule="exact"/>
        <w:jc w:val="right"/>
        <w:rPr>
          <w:rFonts w:hint="eastAsia" w:ascii="宋体" w:hAnsi="宋体" w:cs="微软雅黑"/>
          <w:b/>
          <w:bCs/>
          <w:sz w:val="24"/>
          <w:szCs w:val="24"/>
        </w:rPr>
      </w:pPr>
      <w:r>
        <w:rPr>
          <w:rFonts w:hint="eastAsia" w:ascii="宋体" w:hAnsi="宋体"/>
          <w:b/>
          <w:bCs/>
          <w:color w:val="000000" w:themeColor="text1"/>
          <w:sz w:val="24"/>
          <w:szCs w:val="24"/>
          <w14:textFill>
            <w14:solidFill>
              <w14:schemeClr w14:val="tx1"/>
            </w14:solidFill>
          </w14:textFill>
        </w:rPr>
        <w:t>——</w:t>
      </w:r>
      <w:r>
        <w:rPr>
          <w:rFonts w:hint="eastAsia" w:ascii="宋体" w:hAnsi="宋体" w:cs="微软雅黑"/>
          <w:b/>
          <w:bCs/>
          <w:sz w:val="24"/>
          <w:szCs w:val="24"/>
        </w:rPr>
        <w:t>某材料企业董事长</w:t>
      </w:r>
    </w:p>
    <w:p w14:paraId="6BAB8E6E">
      <w:pPr>
        <w:tabs>
          <w:tab w:val="left" w:pos="270"/>
        </w:tabs>
        <w:spacing w:line="480" w:lineRule="exact"/>
        <w:rPr>
          <w:rFonts w:hint="eastAsia" w:ascii="宋体" w:hAnsi="宋体" w:cs="微软雅黑"/>
          <w:sz w:val="24"/>
          <w:szCs w:val="24"/>
        </w:rPr>
      </w:pPr>
      <w:r>
        <w:rPr>
          <w:rFonts w:hint="eastAsia" w:ascii="宋体" w:hAnsi="宋体" w:cs="微软雅黑"/>
          <w:sz w:val="24"/>
          <w:szCs w:val="24"/>
        </w:rPr>
        <w:t>循循善诱，谆谆教诲，在杨老师的引导下，任何管理难题都能找到最好的答案；</w:t>
      </w:r>
    </w:p>
    <w:p w14:paraId="2F83F7CA">
      <w:pPr>
        <w:tabs>
          <w:tab w:val="left" w:pos="270"/>
        </w:tabs>
        <w:spacing w:line="480" w:lineRule="exact"/>
        <w:jc w:val="right"/>
        <w:rPr>
          <w:rFonts w:hint="eastAsia" w:ascii="宋体" w:hAnsi="宋体" w:cs="微软雅黑"/>
          <w:b/>
          <w:bCs/>
          <w:sz w:val="24"/>
          <w:szCs w:val="24"/>
        </w:rPr>
      </w:pPr>
      <w:r>
        <w:rPr>
          <w:rFonts w:hint="eastAsia" w:ascii="宋体" w:hAnsi="宋体"/>
          <w:b/>
          <w:bCs/>
          <w:color w:val="000000" w:themeColor="text1"/>
          <w:sz w:val="24"/>
          <w:szCs w:val="24"/>
          <w14:textFill>
            <w14:solidFill>
              <w14:schemeClr w14:val="tx1"/>
            </w14:solidFill>
          </w14:textFill>
        </w:rPr>
        <w:t>——</w:t>
      </w:r>
      <w:r>
        <w:rPr>
          <w:rFonts w:hint="eastAsia" w:ascii="宋体" w:hAnsi="宋体" w:cs="微软雅黑"/>
          <w:b/>
          <w:bCs/>
          <w:sz w:val="24"/>
          <w:szCs w:val="24"/>
        </w:rPr>
        <w:t>公开课学员</w:t>
      </w:r>
    </w:p>
    <w:p w14:paraId="74C5D486">
      <w:pPr>
        <w:spacing w:line="480" w:lineRule="exact"/>
        <w:rPr>
          <w:rFonts w:hint="eastAsia" w:ascii="宋体" w:hAnsi="宋体" w:cs="微软雅黑"/>
          <w:sz w:val="24"/>
          <w:szCs w:val="24"/>
        </w:rPr>
      </w:pPr>
      <w:r>
        <w:rPr>
          <w:rFonts w:hint="eastAsia" w:ascii="宋体" w:hAnsi="宋体" w:cs="微软雅黑"/>
          <w:sz w:val="24"/>
          <w:szCs w:val="24"/>
        </w:rPr>
        <w:t>观念，流程，规范，杨老师的全方位咨询式培训使我们了解了制造业工厂管理的真相！</w:t>
      </w:r>
    </w:p>
    <w:p w14:paraId="64771835">
      <w:pPr>
        <w:spacing w:line="480" w:lineRule="exact"/>
        <w:jc w:val="right"/>
        <w:rPr>
          <w:rFonts w:hint="eastAsia" w:ascii="宋体" w:hAnsi="宋体" w:cs="微软雅黑"/>
          <w:b/>
          <w:bCs/>
          <w:sz w:val="24"/>
          <w:szCs w:val="24"/>
        </w:rPr>
      </w:pPr>
      <w:r>
        <w:rPr>
          <w:rFonts w:hint="eastAsia" w:ascii="宋体" w:hAnsi="宋体"/>
          <w:b/>
          <w:bCs/>
          <w:color w:val="000000" w:themeColor="text1"/>
          <w:sz w:val="24"/>
          <w:szCs w:val="24"/>
          <w14:textFill>
            <w14:solidFill>
              <w14:schemeClr w14:val="tx1"/>
            </w14:solidFill>
          </w14:textFill>
        </w:rPr>
        <w:t>——</w:t>
      </w:r>
      <w:r>
        <w:rPr>
          <w:rFonts w:hint="eastAsia" w:ascii="宋体" w:hAnsi="宋体" w:cs="微软雅黑"/>
          <w:b/>
          <w:bCs/>
          <w:sz w:val="24"/>
          <w:szCs w:val="24"/>
        </w:rPr>
        <w:t>某电子设备企业总经理</w:t>
      </w:r>
    </w:p>
    <w:p w14:paraId="47E88916">
      <w:pPr>
        <w:spacing w:line="480" w:lineRule="exact"/>
        <w:rPr>
          <w:rFonts w:hint="eastAsia" w:ascii="宋体" w:hAnsi="宋体" w:cs="微软雅黑"/>
          <w:b/>
          <w:bCs/>
          <w:sz w:val="24"/>
          <w:szCs w:val="24"/>
        </w:rPr>
      </w:pPr>
    </w:p>
    <w:p w14:paraId="3EDFF70B">
      <w:pPr>
        <w:spacing w:line="480" w:lineRule="exact"/>
        <w:rPr>
          <w:rFonts w:hint="eastAsia" w:ascii="宋体" w:hAnsi="宋体" w:cs="微软雅黑"/>
          <w:b/>
          <w:bCs/>
          <w:sz w:val="24"/>
          <w:szCs w:val="24"/>
        </w:rPr>
      </w:pPr>
      <w:r>
        <w:rPr>
          <w:rFonts w:hint="eastAsia" w:ascii="宋体" w:hAnsi="宋体" w:cs="微软雅黑"/>
          <w:b/>
          <w:bCs/>
          <w:sz w:val="24"/>
          <w:szCs w:val="24"/>
        </w:rPr>
        <w:t>部分服务客户：</w:t>
      </w:r>
    </w:p>
    <w:p w14:paraId="311549F9">
      <w:pPr>
        <w:spacing w:line="480" w:lineRule="exact"/>
        <w:rPr>
          <w:rFonts w:hint="eastAsia" w:ascii="宋体" w:hAnsi="宋体" w:cs="宋体"/>
          <w:bCs/>
          <w:color w:val="000000"/>
          <w:sz w:val="24"/>
        </w:rPr>
      </w:pPr>
      <w:r>
        <w:rPr>
          <w:rFonts w:hint="eastAsia" w:ascii="宋体" w:hAnsi="宋体" w:cs="微软雅黑"/>
          <w:b/>
          <w:sz w:val="24"/>
          <w:szCs w:val="24"/>
        </w:rPr>
        <w:t>烟草</w:t>
      </w:r>
      <w:r>
        <w:rPr>
          <w:rFonts w:hint="eastAsia" w:ascii="宋体" w:hAnsi="宋体" w:cs="微软雅黑"/>
          <w:b/>
          <w:sz w:val="24"/>
        </w:rPr>
        <w:t>、</w:t>
      </w:r>
      <w:r>
        <w:rPr>
          <w:rFonts w:hint="eastAsia" w:ascii="宋体" w:hAnsi="宋体" w:cs="微软雅黑"/>
          <w:b/>
          <w:sz w:val="24"/>
          <w:szCs w:val="24"/>
        </w:rPr>
        <w:t>电力</w:t>
      </w:r>
      <w:r>
        <w:rPr>
          <w:rFonts w:hint="eastAsia" w:ascii="宋体" w:hAnsi="宋体" w:cs="微软雅黑"/>
          <w:b/>
          <w:sz w:val="24"/>
        </w:rPr>
        <w:t>、电子</w:t>
      </w:r>
      <w:r>
        <w:rPr>
          <w:rFonts w:hint="eastAsia" w:ascii="宋体" w:hAnsi="宋体" w:cs="微软雅黑"/>
          <w:b/>
          <w:sz w:val="24"/>
          <w:szCs w:val="24"/>
        </w:rPr>
        <w:t>行业</w:t>
      </w:r>
      <w:r>
        <w:rPr>
          <w:rFonts w:hint="eastAsia" w:ascii="宋体" w:hAnsi="宋体" w:cs="微软雅黑"/>
          <w:bCs/>
          <w:sz w:val="24"/>
          <w:szCs w:val="24"/>
        </w:rPr>
        <w:t>：</w:t>
      </w:r>
      <w:r>
        <w:rPr>
          <w:rFonts w:hint="eastAsia" w:ascii="宋体" w:hAnsi="宋体" w:cs="宋体"/>
          <w:bCs/>
          <w:color w:val="000000"/>
          <w:sz w:val="24"/>
        </w:rPr>
        <w:t>山东华电青岛发电、长治漳山电厂、惠州光泓电子、</w:t>
      </w:r>
      <w:r>
        <w:rPr>
          <w:rFonts w:hint="eastAsia" w:ascii="宋体" w:hAnsi="宋体"/>
          <w:sz w:val="24"/>
        </w:rPr>
        <w:t>珠海采埃孚电子、深圳洲明电子、</w:t>
      </w:r>
      <w:r>
        <w:rPr>
          <w:rFonts w:hint="eastAsia" w:ascii="宋体" w:hAnsi="宋体" w:cs="宋体"/>
          <w:bCs/>
          <w:color w:val="000000"/>
          <w:sz w:val="24"/>
        </w:rPr>
        <w:t>深圳欧朋达电子、惠州乐庭电线、</w:t>
      </w:r>
      <w:r>
        <w:rPr>
          <w:rFonts w:hint="eastAsia" w:ascii="宋体" w:hAnsi="宋体"/>
          <w:sz w:val="24"/>
        </w:rPr>
        <w:t>深圳斯比泰电子、</w:t>
      </w:r>
      <w:r>
        <w:rPr>
          <w:rFonts w:hint="eastAsia" w:ascii="宋体" w:hAnsi="宋体" w:cs="宋体"/>
          <w:bCs/>
          <w:color w:val="000000"/>
          <w:sz w:val="24"/>
        </w:rPr>
        <w:t>深圳大族元亨光电、</w:t>
      </w:r>
      <w:r>
        <w:rPr>
          <w:rFonts w:hint="eastAsia" w:ascii="宋体" w:hAnsi="宋体"/>
          <w:sz w:val="24"/>
        </w:rPr>
        <w:t>深圳斯比泰电子、</w:t>
      </w:r>
      <w:r>
        <w:rPr>
          <w:rFonts w:hint="eastAsia" w:ascii="宋体" w:hAnsi="宋体" w:cs="宋体"/>
          <w:bCs/>
          <w:color w:val="000000"/>
          <w:sz w:val="24"/>
        </w:rPr>
        <w:t>深圳联想、</w:t>
      </w:r>
      <w:r>
        <w:rPr>
          <w:rFonts w:hint="eastAsia" w:ascii="宋体" w:hAnsi="宋体"/>
          <w:sz w:val="24"/>
        </w:rPr>
        <w:t>高明供电局、</w:t>
      </w:r>
      <w:r>
        <w:rPr>
          <w:rFonts w:hint="eastAsia" w:ascii="宋体" w:hAnsi="宋体" w:cs="宋体"/>
          <w:bCs/>
          <w:color w:val="000000"/>
          <w:sz w:val="24"/>
        </w:rPr>
        <w:t>昆明禄劝电力、成都三峡电力设备、深圳竟华电子、珠海TDK、平顶山平高电气、</w:t>
      </w:r>
      <w:r>
        <w:rPr>
          <w:rFonts w:hint="eastAsia" w:ascii="宋体" w:hAnsi="宋体"/>
          <w:sz w:val="24"/>
        </w:rPr>
        <w:t>雷曼光电、江西广丰卷烟厂、江西南昌卷烟厂、湖北宜昌三峡卷烟厂、</w:t>
      </w:r>
      <w:r>
        <w:rPr>
          <w:rFonts w:hint="eastAsia" w:ascii="宋体" w:hAnsi="宋体" w:cs="宋体"/>
          <w:bCs/>
          <w:color w:val="000000"/>
          <w:sz w:val="24"/>
        </w:rPr>
        <w:t>宜昌三峡卷烟、梅州成都中钞烟草物流中心、长沙卷烟厂、湖南中烟、云南中烟、云南红塔集团……</w:t>
      </w:r>
    </w:p>
    <w:p w14:paraId="18C39B4B">
      <w:pPr>
        <w:spacing w:line="480" w:lineRule="exact"/>
        <w:rPr>
          <w:rFonts w:hint="eastAsia" w:ascii="宋体" w:hAnsi="宋体"/>
          <w:sz w:val="24"/>
        </w:rPr>
      </w:pPr>
      <w:r>
        <w:rPr>
          <w:rFonts w:hint="eastAsia" w:ascii="宋体" w:hAnsi="宋体" w:cs="微软雅黑"/>
          <w:b/>
          <w:sz w:val="24"/>
        </w:rPr>
        <w:t>制造业</w:t>
      </w:r>
      <w:r>
        <w:rPr>
          <w:rFonts w:hint="eastAsia" w:ascii="宋体" w:hAnsi="宋体" w:cs="微软雅黑"/>
          <w:bCs/>
          <w:sz w:val="24"/>
          <w:szCs w:val="24"/>
        </w:rPr>
        <w:t>：</w:t>
      </w:r>
      <w:r>
        <w:rPr>
          <w:rFonts w:hint="eastAsia" w:ascii="宋体" w:hAnsi="宋体" w:cs="宋体"/>
          <w:bCs/>
          <w:color w:val="000000"/>
          <w:sz w:val="24"/>
        </w:rPr>
        <w:t>北京京磁、浙江金固轮圈、长沙中联重科、盐城江淮动力、广州玛茜特皮具、贵港福达车辆、珠海兄弟亚洲、广东邮政中山物流中心、宜宾中核建812厂、漳州猛狮科技、嵊州瑞雪制冷广西电力线材、广州牛尾电机、江阴江顺科技、河北敬业钢铁、南宁浮法玻璃、东莞有余包装材料、连云港亚邦颜料、云天化、东莞京瓷光学、嘉兴世源科技、深圳国泰达鸣科技、</w:t>
      </w:r>
      <w:r>
        <w:rPr>
          <w:rFonts w:hint="eastAsia" w:ascii="宋体" w:hAnsi="宋体"/>
          <w:sz w:val="24"/>
        </w:rPr>
        <w:t>江门日盈不锈钢、浙江青田青山钢铁、深圳北泰显示、江苏群英纺织、惠州科锐半导体、东莞久森新能源、东莞华贝手机、广州立章包装</w:t>
      </w:r>
      <w:bookmarkStart w:id="0" w:name="_Hlk109051936"/>
      <w:r>
        <w:rPr>
          <w:rFonts w:hint="eastAsia" w:ascii="宋体" w:hAnsi="宋体"/>
          <w:sz w:val="24"/>
        </w:rPr>
        <w:t>、广州日立电梯</w:t>
      </w:r>
      <w:bookmarkEnd w:id="0"/>
      <w:r>
        <w:rPr>
          <w:rFonts w:hint="eastAsia" w:ascii="宋体" w:hAnsi="宋体"/>
          <w:sz w:val="24"/>
        </w:rPr>
        <w:t>、成都中钞贵金属、合肥晶澳太阳能、平顶山中铁物资轨枕厂、安庆华茂纺织、</w:t>
      </w:r>
      <w:r>
        <w:rPr>
          <w:rFonts w:hint="eastAsia" w:ascii="宋体" w:hAnsi="宋体" w:cs="宋体"/>
          <w:bCs/>
          <w:color w:val="000000"/>
          <w:sz w:val="24"/>
        </w:rPr>
        <w:t>重庆紫光化工、苏州通锦精密、广州环亚化妆品、</w:t>
      </w:r>
      <w:r>
        <w:rPr>
          <w:rFonts w:hint="eastAsia" w:ascii="宋体" w:hAnsi="宋体"/>
          <w:sz w:val="24"/>
        </w:rPr>
        <w:t>珠海爱普科斯、</w:t>
      </w:r>
      <w:r>
        <w:rPr>
          <w:rFonts w:hint="eastAsia" w:ascii="宋体" w:hAnsi="宋体" w:cs="宋体"/>
          <w:bCs/>
          <w:color w:val="000000"/>
          <w:sz w:val="24"/>
        </w:rPr>
        <w:t>兵器集团包头北方重工、</w:t>
      </w:r>
      <w:r>
        <w:rPr>
          <w:rFonts w:hint="eastAsia" w:ascii="宋体" w:hAnsi="宋体"/>
          <w:sz w:val="24"/>
        </w:rPr>
        <w:t>襄阳国网绝缘子公司、廊坊京瓷、</w:t>
      </w:r>
      <w:r>
        <w:rPr>
          <w:rFonts w:hint="eastAsia" w:ascii="宋体" w:hAnsi="宋体" w:cs="宋体"/>
          <w:bCs/>
          <w:color w:val="000000"/>
          <w:sz w:val="24"/>
        </w:rPr>
        <w:t>新疆紫金锌矿、中山T</w:t>
      </w:r>
      <w:r>
        <w:rPr>
          <w:rFonts w:ascii="宋体" w:hAnsi="宋体" w:cs="宋体"/>
          <w:bCs/>
          <w:color w:val="000000"/>
          <w:sz w:val="24"/>
        </w:rPr>
        <w:t>CL</w:t>
      </w:r>
      <w:r>
        <w:rPr>
          <w:rFonts w:hint="eastAsia" w:ascii="宋体" w:hAnsi="宋体" w:cs="宋体"/>
          <w:bCs/>
          <w:color w:val="000000"/>
          <w:sz w:val="24"/>
        </w:rPr>
        <w:t>、珠海天威、平顶山帘子布、广东韶关标准马达厂、成都正升声学、沧州中建、长沙吉维信、珠海赛纳耗材、深圳东江环保、重庆复合材料、佛三溢达纺织、南宁真龙天瑞彩印、浙江海宁博凡动力、深圳科瑞、湘潭钢铁、宜昌南玻集团、浙江嘉兴金达亚麻纺织、浙江衢州华友钴业、四川江油攀长钢集团、中山本田制锁、安庆创跃集团、仪征化纤、成都中钞、宁夏石嘴山天地奔牛矿山机械、绍兴东邦化工、岳阳聚成化工、韶钢松山……</w:t>
      </w:r>
    </w:p>
    <w:p w14:paraId="23294AD0">
      <w:pPr>
        <w:spacing w:line="480" w:lineRule="exact"/>
        <w:rPr>
          <w:rFonts w:hint="eastAsia" w:ascii="宋体" w:hAnsi="宋体" w:cs="宋体"/>
          <w:bCs/>
          <w:color w:val="000000"/>
          <w:sz w:val="24"/>
        </w:rPr>
      </w:pPr>
      <w:r>
        <w:rPr>
          <w:rFonts w:hint="eastAsia" w:ascii="宋体" w:hAnsi="宋体"/>
          <w:b/>
          <w:bCs/>
          <w:sz w:val="24"/>
        </w:rPr>
        <w:t>能源业：</w:t>
      </w:r>
      <w:r>
        <w:rPr>
          <w:rFonts w:hint="eastAsia" w:ascii="宋体" w:hAnsi="宋体"/>
          <w:sz w:val="24"/>
        </w:rPr>
        <w:t>江苏盐城</w:t>
      </w:r>
      <w:r>
        <w:rPr>
          <w:rFonts w:hint="eastAsia" w:ascii="宋体" w:hAnsi="宋体" w:cs="宋体"/>
          <w:bCs/>
          <w:color w:val="000000"/>
          <w:sz w:val="24"/>
        </w:rPr>
        <w:t>合肥燃气集团、北京给排水集团、广州给排水、重庆水务集团、唐山节能集团、合肥燃气、浙江绍兴卧龙集团、湖南东方矿业、天津中沙石化、内蒙古乌海化工、</w:t>
      </w:r>
    </w:p>
    <w:p w14:paraId="0227DABE">
      <w:pPr>
        <w:spacing w:line="480" w:lineRule="exact"/>
        <w:rPr>
          <w:rFonts w:hint="eastAsia" w:ascii="宋体" w:hAnsi="宋体"/>
          <w:sz w:val="24"/>
        </w:rPr>
      </w:pPr>
      <w:r>
        <w:rPr>
          <w:rFonts w:hint="eastAsia" w:ascii="宋体" w:hAnsi="宋体" w:cs="宋体"/>
          <w:b/>
          <w:color w:val="000000"/>
          <w:sz w:val="24"/>
        </w:rPr>
        <w:t>印务行业：</w:t>
      </w:r>
      <w:r>
        <w:rPr>
          <w:rFonts w:hint="eastAsia" w:ascii="宋体" w:hAnsi="宋体"/>
          <w:sz w:val="24"/>
        </w:rPr>
        <w:t>深圳中华印务、</w:t>
      </w:r>
      <w:r>
        <w:rPr>
          <w:rFonts w:hint="eastAsia" w:ascii="宋体" w:hAnsi="宋体" w:cs="宋体"/>
          <w:bCs/>
          <w:color w:val="000000"/>
          <w:sz w:val="24"/>
        </w:rPr>
        <w:t>常德金鹏印务、深圳鸿兴印刷、宜昌金三峡印务……</w:t>
      </w:r>
    </w:p>
    <w:p w14:paraId="4DFF61F2">
      <w:pPr>
        <w:spacing w:line="480" w:lineRule="exact"/>
        <w:rPr>
          <w:rFonts w:hint="eastAsia" w:ascii="宋体" w:hAnsi="宋体" w:cs="微软雅黑"/>
          <w:bCs/>
          <w:sz w:val="24"/>
        </w:rPr>
      </w:pPr>
      <w:r>
        <w:rPr>
          <w:rFonts w:hint="eastAsia" w:ascii="宋体" w:hAnsi="宋体"/>
          <w:b/>
          <w:bCs/>
          <w:sz w:val="24"/>
        </w:rPr>
        <w:t>轮船制造业：</w:t>
      </w:r>
      <w:r>
        <w:rPr>
          <w:rFonts w:hint="eastAsia" w:ascii="宋体" w:hAnsi="宋体"/>
          <w:sz w:val="24"/>
        </w:rPr>
        <w:t>上海中船国际、</w:t>
      </w:r>
      <w:r>
        <w:rPr>
          <w:rFonts w:hint="eastAsia" w:ascii="宋体" w:hAnsi="宋体" w:cs="宋体"/>
          <w:bCs/>
          <w:color w:val="000000"/>
          <w:sz w:val="24"/>
        </w:rPr>
        <w:t>广州南沙中船文冲船厂、南京中船、珠海海关技术中心……</w:t>
      </w:r>
    </w:p>
    <w:p w14:paraId="595D6039">
      <w:pPr>
        <w:spacing w:line="480" w:lineRule="exact"/>
        <w:rPr>
          <w:rFonts w:hint="eastAsia" w:ascii="宋体" w:hAnsi="宋体" w:cs="微软雅黑"/>
          <w:b/>
          <w:sz w:val="24"/>
        </w:rPr>
      </w:pPr>
      <w:r>
        <w:rPr>
          <w:rFonts w:hint="eastAsia" w:ascii="宋体" w:hAnsi="宋体" w:cs="微软雅黑"/>
          <w:b/>
          <w:sz w:val="24"/>
        </w:rPr>
        <w:t>汽车物流类</w:t>
      </w:r>
      <w:r>
        <w:rPr>
          <w:rFonts w:hint="eastAsia" w:ascii="宋体" w:hAnsi="宋体" w:cs="微软雅黑"/>
          <w:b/>
          <w:sz w:val="24"/>
          <w:szCs w:val="24"/>
        </w:rPr>
        <w:t>：</w:t>
      </w:r>
      <w:r>
        <w:rPr>
          <w:rFonts w:hint="eastAsia" w:ascii="宋体" w:hAnsi="宋体" w:cs="宋体"/>
          <w:bCs/>
          <w:color w:val="000000"/>
          <w:sz w:val="24"/>
        </w:rPr>
        <w:t>上海申龙客车、东莞新武精机、柳州上汽通用五菱、广州地铁、长春一汽大众、长春一汽轿车、东风悦达起亚汽车、重庆上汽通用五菱、淮南同程物流、深圳信义汽车玻璃、</w:t>
      </w:r>
      <w:r>
        <w:rPr>
          <w:rFonts w:hint="eastAsia" w:ascii="宋体" w:hAnsi="宋体"/>
          <w:sz w:val="24"/>
        </w:rPr>
        <w:t>东风汽车、山东青岛五菱分公司、</w:t>
      </w:r>
      <w:r>
        <w:rPr>
          <w:rFonts w:hint="eastAsia" w:ascii="宋体" w:hAnsi="宋体" w:cs="宋体"/>
          <w:bCs/>
          <w:color w:val="000000"/>
          <w:sz w:val="24"/>
        </w:rPr>
        <w:t>江铃控股、</w:t>
      </w:r>
      <w:r>
        <w:rPr>
          <w:rFonts w:hint="eastAsia" w:ascii="宋体" w:hAnsi="宋体"/>
          <w:sz w:val="24"/>
        </w:rPr>
        <w:t>广州艾帕克汽配、广州东风雪铁龙发动机、</w:t>
      </w:r>
      <w:r>
        <w:rPr>
          <w:rFonts w:hint="eastAsia" w:ascii="宋体" w:hAnsi="宋体" w:cs="宋体"/>
          <w:bCs/>
          <w:color w:val="000000"/>
          <w:sz w:val="24"/>
        </w:rPr>
        <w:t>上饶博纳汽配、</w:t>
      </w:r>
      <w:r>
        <w:rPr>
          <w:rFonts w:hint="eastAsia" w:ascii="宋体" w:hAnsi="宋体"/>
          <w:sz w:val="24"/>
        </w:rPr>
        <w:t>中山邮政物流中心、</w:t>
      </w:r>
      <w:r>
        <w:rPr>
          <w:rFonts w:hint="eastAsia" w:ascii="宋体" w:hAnsi="宋体" w:cs="宋体"/>
          <w:bCs/>
          <w:color w:val="000000"/>
          <w:sz w:val="24"/>
        </w:rPr>
        <w:t>中国烟草物流中心、</w:t>
      </w:r>
      <w:r>
        <w:rPr>
          <w:rFonts w:hint="eastAsia" w:ascii="宋体" w:hAnsi="宋体"/>
          <w:sz w:val="24"/>
        </w:rPr>
        <w:t>深圳国通物流、梅州BPM车轴、</w:t>
      </w:r>
      <w:r>
        <w:rPr>
          <w:rFonts w:hint="eastAsia" w:ascii="宋体" w:hAnsi="宋体" w:cs="宋体"/>
          <w:bCs/>
          <w:color w:val="000000"/>
          <w:sz w:val="24"/>
        </w:rPr>
        <w:t>上海通用重工、</w:t>
      </w:r>
      <w:r>
        <w:rPr>
          <w:rFonts w:hint="eastAsia" w:ascii="宋体" w:hAnsi="宋体"/>
          <w:sz w:val="24"/>
        </w:rPr>
        <w:t>江苏靖江华达科技、一汽解放成都分厂、亚太汽车十堰分公司、</w:t>
      </w:r>
      <w:r>
        <w:rPr>
          <w:rFonts w:hint="eastAsia" w:ascii="宋体" w:hAnsi="宋体" w:cs="宋体"/>
          <w:bCs/>
          <w:color w:val="000000"/>
          <w:sz w:val="24"/>
        </w:rPr>
        <w:t>成都中车、广州T</w:t>
      </w:r>
      <w:r>
        <w:rPr>
          <w:rFonts w:ascii="宋体" w:hAnsi="宋体" w:cs="宋体"/>
          <w:bCs/>
          <w:color w:val="000000"/>
          <w:sz w:val="24"/>
        </w:rPr>
        <w:t>NT</w:t>
      </w:r>
      <w:r>
        <w:rPr>
          <w:rFonts w:hint="eastAsia" w:ascii="宋体" w:hAnsi="宋体" w:cs="宋体"/>
          <w:bCs/>
          <w:color w:val="000000"/>
          <w:sz w:val="24"/>
        </w:rPr>
        <w:t>汽配、</w:t>
      </w:r>
      <w:r>
        <w:rPr>
          <w:rFonts w:hint="eastAsia" w:ascii="宋体" w:hAnsi="宋体"/>
          <w:sz w:val="24"/>
        </w:rPr>
        <w:t>摩比斯汽车模组……</w:t>
      </w:r>
    </w:p>
    <w:p w14:paraId="6E415D58">
      <w:pPr>
        <w:spacing w:line="480" w:lineRule="exact"/>
        <w:rPr>
          <w:rFonts w:hint="eastAsia" w:ascii="宋体" w:hAnsi="宋体" w:cs="宋体"/>
          <w:bCs/>
          <w:color w:val="000000"/>
          <w:sz w:val="24"/>
        </w:rPr>
      </w:pPr>
      <w:r>
        <w:rPr>
          <w:rFonts w:hint="eastAsia" w:ascii="宋体" w:hAnsi="宋体" w:cs="微软雅黑"/>
          <w:b/>
          <w:sz w:val="24"/>
          <w:szCs w:val="24"/>
        </w:rPr>
        <w:t>陶瓷</w:t>
      </w:r>
      <w:r>
        <w:rPr>
          <w:rFonts w:hint="eastAsia" w:ascii="宋体" w:hAnsi="宋体" w:cs="微软雅黑"/>
          <w:b/>
          <w:bCs/>
          <w:sz w:val="24"/>
          <w:szCs w:val="24"/>
        </w:rPr>
        <w:t>、</w:t>
      </w:r>
      <w:r>
        <w:rPr>
          <w:rFonts w:hint="eastAsia" w:ascii="宋体" w:hAnsi="宋体" w:cs="微软雅黑"/>
          <w:b/>
          <w:sz w:val="24"/>
          <w:szCs w:val="24"/>
        </w:rPr>
        <w:t>家私</w:t>
      </w:r>
      <w:r>
        <w:rPr>
          <w:rFonts w:hint="eastAsia" w:ascii="宋体" w:hAnsi="宋体" w:cs="微软雅黑"/>
          <w:b/>
          <w:bCs/>
          <w:sz w:val="24"/>
          <w:szCs w:val="24"/>
        </w:rPr>
        <w:t>、</w:t>
      </w:r>
      <w:r>
        <w:rPr>
          <w:rFonts w:hint="eastAsia" w:ascii="宋体" w:hAnsi="宋体" w:cs="微软雅黑"/>
          <w:b/>
          <w:sz w:val="24"/>
          <w:szCs w:val="24"/>
        </w:rPr>
        <w:t>木业</w:t>
      </w:r>
      <w:r>
        <w:rPr>
          <w:rFonts w:hint="eastAsia" w:ascii="宋体" w:hAnsi="宋体" w:cs="微软雅黑"/>
          <w:b/>
          <w:bCs/>
          <w:sz w:val="24"/>
          <w:szCs w:val="24"/>
        </w:rPr>
        <w:t>：</w:t>
      </w:r>
      <w:r>
        <w:rPr>
          <w:rFonts w:hint="eastAsia" w:ascii="宋体" w:hAnsi="宋体" w:cs="宋体"/>
          <w:bCs/>
          <w:color w:val="000000"/>
          <w:sz w:val="24"/>
        </w:rPr>
        <w:t>乐山林和实业、、佛山新乐卫浴、杭州老板电器、东莞马可波罗瓷砖、佛山欧神诺瓷砖、简一瓷砖、新明珠瓷砖武汉美的、</w:t>
      </w:r>
      <w:r>
        <w:rPr>
          <w:rFonts w:hint="eastAsia" w:ascii="宋体" w:hAnsi="宋体"/>
          <w:sz w:val="24"/>
        </w:rPr>
        <w:t>中山佳威路家用电器、</w:t>
      </w:r>
      <w:r>
        <w:rPr>
          <w:rFonts w:hint="eastAsia" w:ascii="宋体" w:hAnsi="宋体" w:cs="宋体"/>
          <w:bCs/>
          <w:color w:val="000000"/>
          <w:sz w:val="24"/>
        </w:rPr>
        <w:t>佛山万和电器、简一陶瓷、全友家居、</w:t>
      </w:r>
      <w:r>
        <w:rPr>
          <w:rFonts w:hint="eastAsia" w:ascii="宋体" w:hAnsi="宋体"/>
          <w:sz w:val="24"/>
        </w:rPr>
        <w:t>广州美的、邯郸美的、佛山贝斯特陶瓷、广州万宝电器、佛山东亚门业、浙江金华春天门业、浙江金凯德门业</w:t>
      </w:r>
      <w:r>
        <w:rPr>
          <w:rFonts w:hint="eastAsia" w:ascii="宋体" w:hAnsi="宋体" w:cs="宋体"/>
          <w:bCs/>
          <w:color w:val="000000"/>
          <w:sz w:val="24"/>
        </w:rPr>
        <w:t>、清远欧派家居、宁波奥克斯、江门乐家卫浴、陶润陶瓷……</w:t>
      </w:r>
    </w:p>
    <w:p w14:paraId="5CA6F5B9">
      <w:pPr>
        <w:spacing w:line="480" w:lineRule="exact"/>
        <w:rPr>
          <w:rFonts w:hint="eastAsia" w:ascii="宋体" w:hAnsi="宋体"/>
          <w:sz w:val="24"/>
        </w:rPr>
      </w:pPr>
      <w:r>
        <w:rPr>
          <w:rFonts w:hint="eastAsia" w:ascii="宋体" w:hAnsi="宋体" w:cs="宋体"/>
          <w:b/>
          <w:color w:val="000000"/>
          <w:sz w:val="24"/>
        </w:rPr>
        <w:t>食品药品行业：</w:t>
      </w:r>
      <w:r>
        <w:rPr>
          <w:rFonts w:hint="eastAsia" w:ascii="宋体" w:hAnsi="宋体" w:cs="宋体"/>
          <w:bCs/>
          <w:color w:val="000000"/>
          <w:sz w:val="24"/>
        </w:rPr>
        <w:t>河南鹤壁大用</w:t>
      </w:r>
      <w:r>
        <w:rPr>
          <w:rFonts w:hint="eastAsia" w:ascii="宋体" w:hAnsi="宋体"/>
          <w:sz w:val="24"/>
        </w:rPr>
        <w:t>食品、</w:t>
      </w:r>
      <w:r>
        <w:rPr>
          <w:rFonts w:hint="eastAsia" w:ascii="宋体" w:hAnsi="宋体" w:cs="宋体"/>
          <w:bCs/>
          <w:color w:val="000000"/>
          <w:sz w:val="24"/>
        </w:rPr>
        <w:t>湖北咸宁红牛功能饮料、</w:t>
      </w:r>
      <w:r>
        <w:rPr>
          <w:rFonts w:hint="eastAsia" w:ascii="宋体" w:hAnsi="宋体"/>
          <w:sz w:val="24"/>
        </w:rPr>
        <w:t>湖北当阳澳利龙饮料、佛山金大惠食品、广州自来水公司、岳阳华文食品、贵阳燕京啤酒、宜宾五粮液、</w:t>
      </w:r>
      <w:r>
        <w:rPr>
          <w:rFonts w:hint="eastAsia" w:ascii="宋体" w:hAnsi="宋体" w:cs="宋体"/>
          <w:bCs/>
          <w:color w:val="000000"/>
          <w:sz w:val="24"/>
        </w:rPr>
        <w:t>温氏集团、青岛沃隆食品、江西兄弟药业、江中制药、石药集团、岳阳道道全粮油、保定西麦燕麦、厦门燕之屋、宜昌澳科乳化……</w:t>
      </w:r>
    </w:p>
    <w:p w14:paraId="0C2DA4AF">
      <w:pPr>
        <w:spacing w:line="480" w:lineRule="exact"/>
        <w:rPr>
          <w:rFonts w:hint="eastAsia" w:ascii="宋体" w:hAnsi="宋体" w:cs="宋体"/>
          <w:bCs/>
          <w:color w:val="000000"/>
          <w:sz w:val="24"/>
        </w:rPr>
      </w:pPr>
      <w:r>
        <w:rPr>
          <w:rFonts w:hint="eastAsia" w:ascii="宋体" w:hAnsi="宋体" w:cs="微软雅黑"/>
          <w:b/>
          <w:sz w:val="24"/>
          <w:szCs w:val="24"/>
        </w:rPr>
        <w:t>其它行业</w:t>
      </w:r>
      <w:r>
        <w:rPr>
          <w:rFonts w:hint="eastAsia" w:ascii="宋体" w:hAnsi="宋体" w:cs="微软雅黑"/>
          <w:bCs/>
          <w:sz w:val="24"/>
          <w:szCs w:val="24"/>
        </w:rPr>
        <w:t>：</w:t>
      </w:r>
      <w:r>
        <w:rPr>
          <w:rFonts w:hint="eastAsia" w:ascii="宋体" w:hAnsi="宋体" w:cs="宋体"/>
          <w:bCs/>
          <w:color w:val="000000"/>
          <w:sz w:val="24"/>
        </w:rPr>
        <w:t>成都福华农科、成都乐山福华农科</w:t>
      </w:r>
      <w:r>
        <w:rPr>
          <w:rFonts w:hint="eastAsia" w:ascii="宋体" w:hAnsi="宋体"/>
          <w:sz w:val="24"/>
        </w:rPr>
        <w:t>、</w:t>
      </w:r>
      <w:r>
        <w:rPr>
          <w:rFonts w:hint="eastAsia" w:ascii="宋体" w:hAnsi="宋体" w:cs="宋体"/>
          <w:bCs/>
          <w:color w:val="000000"/>
          <w:sz w:val="24"/>
        </w:rPr>
        <w:t>福建和盛高科、深圳京泉方、广州宏图、深圳金上晋、泉州力拓花盆、宁波继锋科技、醴陵晋江奇美水族、梅州盛富、广东科翔P</w:t>
      </w:r>
      <w:r>
        <w:rPr>
          <w:rFonts w:ascii="宋体" w:hAnsi="宋体" w:cs="宋体"/>
          <w:bCs/>
          <w:color w:val="000000"/>
          <w:sz w:val="24"/>
        </w:rPr>
        <w:t>CB、</w:t>
      </w:r>
      <w:r>
        <w:rPr>
          <w:rFonts w:hint="eastAsia" w:ascii="宋体" w:hAnsi="宋体" w:cs="宋体"/>
          <w:bCs/>
          <w:color w:val="000000"/>
          <w:sz w:val="24"/>
        </w:rPr>
        <w:t>清远金发科技、深圳新辉开、东莞萨秘特……</w:t>
      </w:r>
    </w:p>
    <w:p w14:paraId="4E138552">
      <w:pPr>
        <w:spacing w:line="460" w:lineRule="exact"/>
        <w:rPr>
          <w:rFonts w:hint="eastAsia" w:ascii="宋体" w:hAnsi="宋体" w:cs="宋体"/>
          <w:b/>
          <w:sz w:val="24"/>
          <w:szCs w:val="24"/>
        </w:rPr>
      </w:pPr>
    </w:p>
    <w:p w14:paraId="5DEE7A05">
      <w:pPr>
        <w:adjustRightInd w:val="0"/>
        <w:snapToGrid w:val="0"/>
        <w:spacing w:line="400" w:lineRule="exact"/>
        <w:jc w:val="left"/>
        <w:rPr>
          <w:rFonts w:hint="eastAsia" w:ascii="宋体" w:hAnsi="宋体" w:cs="宋体"/>
          <w:b/>
          <w:bCs/>
          <w:sz w:val="24"/>
          <w:szCs w:val="24"/>
        </w:rPr>
      </w:pPr>
      <w:r>
        <w:rPr>
          <w:rFonts w:hint="eastAsia" w:ascii="宋体" w:hAnsi="宋体" w:cs="宋体"/>
          <w:b/>
          <w:bCs/>
          <w:sz w:val="24"/>
          <w:szCs w:val="24"/>
        </w:rPr>
        <w:t>部分授课照片：</w:t>
      </w:r>
    </w:p>
    <w:tbl>
      <w:tblPr>
        <w:tblStyle w:val="5"/>
        <w:tblpPr w:leftFromText="180" w:rightFromText="180" w:vertAnchor="text" w:tblpXSpec="center" w:tblpY="1"/>
        <w:tblW w:w="0" w:type="auto"/>
        <w:tblInd w:w="0" w:type="dxa"/>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Layout w:type="fixed"/>
        <w:tblCellMar>
          <w:top w:w="0" w:type="dxa"/>
          <w:left w:w="108" w:type="dxa"/>
          <w:bottom w:w="0" w:type="dxa"/>
          <w:right w:w="108" w:type="dxa"/>
        </w:tblCellMar>
      </w:tblPr>
      <w:tblGrid>
        <w:gridCol w:w="4746"/>
        <w:gridCol w:w="4747"/>
      </w:tblGrid>
      <w:tr w14:paraId="111CD959">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3043" w:hRule="atLeast"/>
        </w:trPr>
        <w:tc>
          <w:tcPr>
            <w:tcW w:w="4746" w:type="dxa"/>
          </w:tcPr>
          <w:p w14:paraId="20CC0CDA">
            <w:pPr>
              <w:rPr>
                <w:rFonts w:hint="eastAsia" w:ascii="宋体" w:hAnsi="宋体"/>
              </w:rPr>
            </w:pPr>
            <w:r>
              <w:rPr>
                <w:rFonts w:hint="eastAsia" w:ascii="宋体" w:hAnsi="宋体"/>
              </w:rPr>
              <w:drawing>
                <wp:inline distT="0" distB="0" distL="0" distR="0">
                  <wp:extent cx="2760980" cy="2019300"/>
                  <wp:effectExtent l="0" t="0" r="1270" b="0"/>
                  <wp:docPr id="63" name="图片 63" descr="微信图片_2020072219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微信图片_20200722195243"/>
                          <pic:cNvPicPr preferRelativeResize="0">
                            <a:picLocks noChangeAspect="1" noChangeArrowheads="1"/>
                          </pic:cNvPicPr>
                        </pic:nvPicPr>
                        <pic:blipFill>
                          <a:blip r:embed="rId5" cstate="screen"/>
                          <a:srcRect/>
                          <a:stretch>
                            <a:fillRect/>
                          </a:stretch>
                        </pic:blipFill>
                        <pic:spPr>
                          <a:xfrm>
                            <a:off x="0" y="0"/>
                            <a:ext cx="2761200" cy="2019600"/>
                          </a:xfrm>
                          <a:prstGeom prst="rect">
                            <a:avLst/>
                          </a:prstGeom>
                          <a:noFill/>
                          <a:ln>
                            <a:noFill/>
                          </a:ln>
                        </pic:spPr>
                      </pic:pic>
                    </a:graphicData>
                  </a:graphic>
                </wp:inline>
              </w:drawing>
            </w:r>
          </w:p>
        </w:tc>
        <w:tc>
          <w:tcPr>
            <w:tcW w:w="4747" w:type="dxa"/>
          </w:tcPr>
          <w:p w14:paraId="4F15C469">
            <w:pPr>
              <w:rPr>
                <w:rFonts w:hint="eastAsia" w:ascii="宋体" w:hAnsi="宋体"/>
              </w:rPr>
            </w:pPr>
            <w:r>
              <w:drawing>
                <wp:inline distT="0" distB="0" distL="114300" distR="114300">
                  <wp:extent cx="2872105" cy="2098040"/>
                  <wp:effectExtent l="0" t="0" r="444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872105" cy="2098040"/>
                          </a:xfrm>
                          <a:prstGeom prst="rect">
                            <a:avLst/>
                          </a:prstGeom>
                          <a:noFill/>
                          <a:ln>
                            <a:noFill/>
                          </a:ln>
                        </pic:spPr>
                      </pic:pic>
                    </a:graphicData>
                  </a:graphic>
                </wp:inline>
              </w:drawing>
            </w:r>
          </w:p>
        </w:tc>
      </w:tr>
      <w:tr w14:paraId="188676FF">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715" w:hRule="atLeast"/>
        </w:trPr>
        <w:tc>
          <w:tcPr>
            <w:tcW w:w="4746" w:type="dxa"/>
          </w:tcPr>
          <w:p w14:paraId="1ACADFB6">
            <w:pPr>
              <w:adjustRightInd w:val="0"/>
              <w:snapToGrid w:val="0"/>
              <w:spacing w:line="360" w:lineRule="exact"/>
              <w:jc w:val="center"/>
              <w:rPr>
                <w:rFonts w:hint="eastAsia" w:ascii="宋体" w:hAnsi="宋体" w:cs="宋体"/>
              </w:rPr>
            </w:pPr>
            <w:r>
              <w:rPr>
                <w:rFonts w:hint="eastAsia" w:ascii="宋体" w:hAnsi="宋体" w:cs="宋体"/>
              </w:rPr>
              <w:t>精工控股</w:t>
            </w:r>
          </w:p>
          <w:p w14:paraId="73F4FB51">
            <w:pPr>
              <w:adjustRightInd w:val="0"/>
              <w:snapToGrid w:val="0"/>
              <w:spacing w:line="360" w:lineRule="exact"/>
              <w:jc w:val="center"/>
              <w:rPr>
                <w:rFonts w:hint="eastAsia" w:ascii="宋体" w:hAnsi="宋体" w:cs="宋体"/>
                <w:szCs w:val="21"/>
              </w:rPr>
            </w:pPr>
            <w:r>
              <w:rPr>
                <w:rFonts w:hint="eastAsia" w:ascii="宋体" w:hAnsi="宋体" w:cs="宋体"/>
                <w:szCs w:val="21"/>
              </w:rPr>
              <w:t>《TPM全员设备维护》</w:t>
            </w:r>
          </w:p>
        </w:tc>
        <w:tc>
          <w:tcPr>
            <w:tcW w:w="4747" w:type="dxa"/>
          </w:tcPr>
          <w:p w14:paraId="185A4718">
            <w:pPr>
              <w:pStyle w:val="2"/>
              <w:widowControl/>
              <w:shd w:val="clear" w:color="auto" w:fill="FFFFFF"/>
              <w:spacing w:before="0" w:beforeAutospacing="0" w:after="0" w:afterAutospacing="0"/>
              <w:jc w:val="center"/>
              <w:rPr>
                <w:rFonts w:cs="宋体"/>
                <w:b w:val="0"/>
                <w:bCs w:val="0"/>
                <w:kern w:val="2"/>
                <w:sz w:val="21"/>
                <w:szCs w:val="21"/>
              </w:rPr>
            </w:pPr>
            <w:r>
              <w:rPr>
                <w:rFonts w:hint="default" w:cs="宋体"/>
                <w:b w:val="0"/>
                <w:bCs w:val="0"/>
                <w:kern w:val="2"/>
                <w:sz w:val="21"/>
                <w:szCs w:val="21"/>
              </w:rPr>
              <w:t>东方矿业</w:t>
            </w:r>
          </w:p>
          <w:p w14:paraId="5A661026">
            <w:pPr>
              <w:pStyle w:val="2"/>
              <w:widowControl/>
              <w:shd w:val="clear" w:color="auto" w:fill="FFFFFF"/>
              <w:spacing w:before="0" w:beforeAutospacing="0" w:after="0" w:afterAutospacing="0"/>
              <w:jc w:val="center"/>
            </w:pPr>
            <w:r>
              <w:rPr>
                <w:rFonts w:cs="宋体"/>
                <w:b w:val="0"/>
                <w:bCs w:val="0"/>
                <w:kern w:val="2"/>
                <w:sz w:val="21"/>
                <w:szCs w:val="21"/>
              </w:rPr>
              <w:t>《</w:t>
            </w:r>
            <w:r>
              <w:rPr>
                <w:rFonts w:hint="default" w:cs="宋体"/>
                <w:b w:val="0"/>
                <w:bCs w:val="0"/>
                <w:kern w:val="2"/>
                <w:sz w:val="21"/>
                <w:szCs w:val="21"/>
              </w:rPr>
              <w:t>企业经营成本分析与控制</w:t>
            </w:r>
            <w:r>
              <w:rPr>
                <w:rFonts w:cs="宋体"/>
                <w:b w:val="0"/>
                <w:bCs w:val="0"/>
                <w:kern w:val="2"/>
                <w:sz w:val="21"/>
                <w:szCs w:val="21"/>
              </w:rPr>
              <w:t>》</w:t>
            </w:r>
          </w:p>
        </w:tc>
      </w:tr>
      <w:tr w14:paraId="413347FC">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798FCB68">
            <w:pPr>
              <w:rPr>
                <w:rFonts w:hint="eastAsia" w:ascii="宋体" w:hAnsi="宋体"/>
              </w:rPr>
            </w:pPr>
            <w:r>
              <w:drawing>
                <wp:inline distT="0" distB="0" distL="114300" distR="114300">
                  <wp:extent cx="2760980" cy="2019300"/>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761200" cy="2019600"/>
                          </a:xfrm>
                          <a:prstGeom prst="rect">
                            <a:avLst/>
                          </a:prstGeom>
                          <a:noFill/>
                          <a:ln>
                            <a:noFill/>
                          </a:ln>
                        </pic:spPr>
                      </pic:pic>
                    </a:graphicData>
                  </a:graphic>
                </wp:inline>
              </w:drawing>
            </w:r>
          </w:p>
        </w:tc>
        <w:tc>
          <w:tcPr>
            <w:tcW w:w="4747" w:type="dxa"/>
          </w:tcPr>
          <w:p w14:paraId="1C7B4C85">
            <w:pPr>
              <w:rPr>
                <w:rFonts w:hint="eastAsia" w:ascii="宋体" w:hAnsi="宋体"/>
              </w:rPr>
            </w:pPr>
            <w:r>
              <w:drawing>
                <wp:inline distT="0" distB="0" distL="114300" distR="114300">
                  <wp:extent cx="2760980" cy="2019300"/>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761200" cy="2019600"/>
                          </a:xfrm>
                          <a:prstGeom prst="rect">
                            <a:avLst/>
                          </a:prstGeom>
                          <a:noFill/>
                          <a:ln>
                            <a:noFill/>
                          </a:ln>
                        </pic:spPr>
                      </pic:pic>
                    </a:graphicData>
                  </a:graphic>
                </wp:inline>
              </w:drawing>
            </w:r>
          </w:p>
        </w:tc>
      </w:tr>
      <w:tr w14:paraId="5C7AE037">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675D54D4">
            <w:pPr>
              <w:pStyle w:val="2"/>
              <w:widowControl/>
              <w:shd w:val="clear" w:color="auto" w:fill="FFFFFF"/>
              <w:spacing w:before="0" w:beforeAutospacing="0" w:after="0" w:afterAutospacing="0"/>
              <w:jc w:val="center"/>
              <w:rPr>
                <w:rFonts w:cs="宋体"/>
                <w:b w:val="0"/>
                <w:bCs w:val="0"/>
                <w:kern w:val="2"/>
                <w:sz w:val="21"/>
                <w:szCs w:val="22"/>
              </w:rPr>
            </w:pPr>
            <w:r>
              <w:rPr>
                <w:rFonts w:hint="default" w:cs="宋体"/>
                <w:b w:val="0"/>
                <w:bCs w:val="0"/>
                <w:kern w:val="2"/>
                <w:sz w:val="21"/>
                <w:szCs w:val="22"/>
              </w:rPr>
              <w:t>浙江新材料</w:t>
            </w:r>
          </w:p>
          <w:p w14:paraId="028C3165">
            <w:pPr>
              <w:pStyle w:val="2"/>
              <w:widowControl/>
              <w:shd w:val="clear" w:color="auto" w:fill="FFFFFF"/>
              <w:spacing w:before="0" w:beforeAutospacing="0" w:after="0" w:afterAutospacing="0"/>
              <w:jc w:val="center"/>
              <w:rPr>
                <w:rFonts w:cs="宋体"/>
              </w:rPr>
            </w:pPr>
            <w:r>
              <w:rPr>
                <w:rFonts w:cs="宋体"/>
                <w:b w:val="0"/>
                <w:bCs w:val="0"/>
                <w:kern w:val="2"/>
                <w:sz w:val="21"/>
                <w:szCs w:val="22"/>
              </w:rPr>
              <w:t>《</w:t>
            </w:r>
            <w:r>
              <w:rPr>
                <w:rFonts w:hint="default" w:cs="宋体"/>
                <w:b w:val="0"/>
                <w:bCs w:val="0"/>
                <w:kern w:val="2"/>
                <w:sz w:val="21"/>
                <w:szCs w:val="22"/>
              </w:rPr>
              <w:t>生产现场辅导咨询项目</w:t>
            </w:r>
            <w:r>
              <w:rPr>
                <w:rFonts w:cs="宋体"/>
                <w:b w:val="0"/>
                <w:bCs w:val="0"/>
                <w:kern w:val="2"/>
                <w:sz w:val="21"/>
                <w:szCs w:val="22"/>
              </w:rPr>
              <w:t>》</w:t>
            </w:r>
          </w:p>
        </w:tc>
        <w:tc>
          <w:tcPr>
            <w:tcW w:w="4747" w:type="dxa"/>
          </w:tcPr>
          <w:p w14:paraId="574FA424">
            <w:pPr>
              <w:pStyle w:val="2"/>
              <w:widowControl/>
              <w:shd w:val="clear" w:color="auto" w:fill="FFFFFF"/>
              <w:spacing w:before="0" w:beforeAutospacing="0" w:after="0" w:afterAutospacing="0"/>
              <w:jc w:val="center"/>
              <w:rPr>
                <w:rFonts w:cs="宋体"/>
                <w:b w:val="0"/>
                <w:bCs w:val="0"/>
                <w:kern w:val="2"/>
                <w:sz w:val="21"/>
                <w:szCs w:val="22"/>
              </w:rPr>
            </w:pPr>
            <w:r>
              <w:rPr>
                <w:rFonts w:hint="default" w:cs="宋体"/>
                <w:b w:val="0"/>
                <w:bCs w:val="0"/>
                <w:kern w:val="2"/>
                <w:sz w:val="21"/>
                <w:szCs w:val="22"/>
              </w:rPr>
              <w:t>江苏换热设备</w:t>
            </w:r>
          </w:p>
          <w:p w14:paraId="2558D89E">
            <w:pPr>
              <w:pStyle w:val="2"/>
              <w:widowControl/>
              <w:shd w:val="clear" w:color="auto" w:fill="FFFFFF"/>
              <w:spacing w:before="0" w:beforeAutospacing="0" w:after="0" w:afterAutospacing="0"/>
              <w:jc w:val="center"/>
              <w:rPr>
                <w:rFonts w:cs="宋体"/>
              </w:rPr>
            </w:pPr>
            <w:r>
              <w:rPr>
                <w:rFonts w:cs="宋体"/>
                <w:b w:val="0"/>
                <w:bCs w:val="0"/>
                <w:kern w:val="2"/>
                <w:sz w:val="21"/>
                <w:szCs w:val="22"/>
              </w:rPr>
              <w:t>《品质管理与品质改善咨询项目》</w:t>
            </w:r>
          </w:p>
        </w:tc>
      </w:tr>
      <w:tr w14:paraId="21D92BEC">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70F88E5F">
            <w:pPr>
              <w:rPr>
                <w:rFonts w:hint="eastAsia" w:ascii="宋体" w:hAnsi="宋体"/>
              </w:rPr>
            </w:pPr>
            <w:r>
              <w:rPr>
                <w:rFonts w:hint="eastAsia" w:ascii="宋体" w:hAnsi="宋体"/>
              </w:rPr>
              <w:drawing>
                <wp:inline distT="0" distB="0" distL="0" distR="0">
                  <wp:extent cx="2760980" cy="2019300"/>
                  <wp:effectExtent l="0" t="0" r="1270" b="0"/>
                  <wp:docPr id="57" name="图片 57" descr="微信图片_2021072410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微信图片_20210724104347"/>
                          <pic:cNvPicPr preferRelativeResize="0">
                            <a:picLocks noChangeAspect="1" noChangeArrowheads="1"/>
                          </pic:cNvPicPr>
                        </pic:nvPicPr>
                        <pic:blipFill>
                          <a:blip r:embed="rId9" cstate="screen"/>
                          <a:srcRect/>
                          <a:stretch>
                            <a:fillRect/>
                          </a:stretch>
                        </pic:blipFill>
                        <pic:spPr>
                          <a:xfrm>
                            <a:off x="0" y="0"/>
                            <a:ext cx="2761200" cy="2019600"/>
                          </a:xfrm>
                          <a:prstGeom prst="rect">
                            <a:avLst/>
                          </a:prstGeom>
                          <a:noFill/>
                          <a:ln>
                            <a:noFill/>
                          </a:ln>
                        </pic:spPr>
                      </pic:pic>
                    </a:graphicData>
                  </a:graphic>
                </wp:inline>
              </w:drawing>
            </w:r>
          </w:p>
        </w:tc>
        <w:tc>
          <w:tcPr>
            <w:tcW w:w="4747" w:type="dxa"/>
          </w:tcPr>
          <w:p w14:paraId="0A7ABE0A">
            <w:pPr>
              <w:rPr>
                <w:rFonts w:hint="eastAsia" w:ascii="宋体" w:hAnsi="宋体"/>
                <w:b/>
                <w:bCs/>
              </w:rPr>
            </w:pPr>
            <w:r>
              <w:rPr>
                <w:rFonts w:hint="eastAsia" w:ascii="宋体" w:hAnsi="宋体"/>
                <w:b/>
                <w:bCs/>
              </w:rPr>
              <w:drawing>
                <wp:inline distT="0" distB="0" distL="0" distR="0">
                  <wp:extent cx="2760980" cy="2019300"/>
                  <wp:effectExtent l="0" t="0" r="1270" b="0"/>
                  <wp:docPr id="56" name="图片 56" descr="微信图片_2021090611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微信图片_20210906111513"/>
                          <pic:cNvPicPr preferRelativeResize="0">
                            <a:picLocks noChangeAspect="1" noChangeArrowheads="1"/>
                          </pic:cNvPicPr>
                        </pic:nvPicPr>
                        <pic:blipFill>
                          <a:blip r:embed="rId10" cstate="screen"/>
                          <a:srcRect/>
                          <a:stretch>
                            <a:fillRect/>
                          </a:stretch>
                        </pic:blipFill>
                        <pic:spPr>
                          <a:xfrm>
                            <a:off x="0" y="0"/>
                            <a:ext cx="2761200" cy="2019600"/>
                          </a:xfrm>
                          <a:prstGeom prst="rect">
                            <a:avLst/>
                          </a:prstGeom>
                          <a:noFill/>
                          <a:ln>
                            <a:noFill/>
                          </a:ln>
                        </pic:spPr>
                      </pic:pic>
                    </a:graphicData>
                  </a:graphic>
                </wp:inline>
              </w:drawing>
            </w:r>
          </w:p>
        </w:tc>
      </w:tr>
      <w:tr w14:paraId="60206464">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2376CF9B">
            <w:pPr>
              <w:adjustRightInd w:val="0"/>
              <w:snapToGrid w:val="0"/>
              <w:spacing w:line="360" w:lineRule="exact"/>
              <w:jc w:val="center"/>
              <w:rPr>
                <w:rFonts w:hint="eastAsia" w:ascii="宋体" w:hAnsi="宋体" w:cs="宋体"/>
              </w:rPr>
            </w:pPr>
            <w:r>
              <w:rPr>
                <w:rFonts w:hint="eastAsia" w:ascii="宋体" w:hAnsi="宋体" w:cs="宋体"/>
              </w:rPr>
              <w:t>珠海中润靖杰打印公司</w:t>
            </w:r>
          </w:p>
          <w:p w14:paraId="2007431B">
            <w:pPr>
              <w:adjustRightInd w:val="0"/>
              <w:snapToGrid w:val="0"/>
              <w:spacing w:line="360" w:lineRule="exact"/>
              <w:jc w:val="center"/>
              <w:rPr>
                <w:rFonts w:hint="eastAsia" w:ascii="宋体" w:hAnsi="宋体" w:cs="宋体"/>
              </w:rPr>
            </w:pPr>
            <w:r>
              <w:rPr>
                <w:rFonts w:hint="eastAsia" w:ascii="宋体" w:hAnsi="宋体" w:cs="宋体"/>
              </w:rPr>
              <w:t>《现场改善与生产效率提升》</w:t>
            </w:r>
          </w:p>
        </w:tc>
        <w:tc>
          <w:tcPr>
            <w:tcW w:w="4747" w:type="dxa"/>
          </w:tcPr>
          <w:p w14:paraId="51A61576">
            <w:pPr>
              <w:adjustRightInd w:val="0"/>
              <w:snapToGrid w:val="0"/>
              <w:spacing w:line="360" w:lineRule="exact"/>
              <w:jc w:val="center"/>
              <w:rPr>
                <w:rFonts w:hint="eastAsia" w:ascii="宋体" w:hAnsi="宋体" w:cs="宋体"/>
              </w:rPr>
            </w:pPr>
            <w:r>
              <w:rPr>
                <w:rFonts w:hint="eastAsia" w:ascii="宋体" w:hAnsi="宋体" w:cs="宋体"/>
              </w:rPr>
              <w:t>佛山某经科服务中心</w:t>
            </w:r>
          </w:p>
          <w:p w14:paraId="6B92219D">
            <w:pPr>
              <w:adjustRightInd w:val="0"/>
              <w:snapToGrid w:val="0"/>
              <w:spacing w:line="360" w:lineRule="exact"/>
              <w:jc w:val="center"/>
              <w:rPr>
                <w:rFonts w:hint="eastAsia" w:ascii="宋体" w:hAnsi="宋体" w:cs="宋体"/>
              </w:rPr>
            </w:pPr>
            <w:r>
              <w:rPr>
                <w:rFonts w:hint="eastAsia" w:ascii="宋体" w:hAnsi="宋体" w:cs="宋体"/>
              </w:rPr>
              <w:t>《现场改善与生产效率提升》</w:t>
            </w:r>
          </w:p>
        </w:tc>
      </w:tr>
      <w:tr w14:paraId="5B422665">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90" w:hRule="atLeast"/>
        </w:trPr>
        <w:tc>
          <w:tcPr>
            <w:tcW w:w="4746" w:type="dxa"/>
          </w:tcPr>
          <w:p w14:paraId="55B840F2">
            <w:pPr>
              <w:rPr>
                <w:rFonts w:hint="eastAsia" w:ascii="宋体" w:hAnsi="宋体"/>
              </w:rPr>
            </w:pPr>
            <w:r>
              <w:rPr>
                <w:rFonts w:hint="eastAsia" w:ascii="宋体" w:hAnsi="宋体"/>
              </w:rPr>
              <w:drawing>
                <wp:inline distT="0" distB="0" distL="0" distR="0">
                  <wp:extent cx="2760980" cy="2019300"/>
                  <wp:effectExtent l="0" t="0" r="1270" b="0"/>
                  <wp:docPr id="55" name="图片 55" descr="847e225fc4fe69f9eff96c68ec2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847e225fc4fe69f9eff96c68ec29469"/>
                          <pic:cNvPicPr preferRelativeResize="0">
                            <a:picLocks noChangeAspect="1" noChangeArrowheads="1"/>
                          </pic:cNvPicPr>
                        </pic:nvPicPr>
                        <pic:blipFill>
                          <a:blip r:embed="rId11" cstate="screen"/>
                          <a:srcRect/>
                          <a:stretch>
                            <a:fillRect/>
                          </a:stretch>
                        </pic:blipFill>
                        <pic:spPr>
                          <a:xfrm>
                            <a:off x="0" y="0"/>
                            <a:ext cx="2761200" cy="2019600"/>
                          </a:xfrm>
                          <a:prstGeom prst="rect">
                            <a:avLst/>
                          </a:prstGeom>
                          <a:noFill/>
                          <a:ln>
                            <a:noFill/>
                          </a:ln>
                        </pic:spPr>
                      </pic:pic>
                    </a:graphicData>
                  </a:graphic>
                </wp:inline>
              </w:drawing>
            </w:r>
          </w:p>
        </w:tc>
        <w:tc>
          <w:tcPr>
            <w:tcW w:w="4747" w:type="dxa"/>
          </w:tcPr>
          <w:p w14:paraId="18A05DFB">
            <w:pPr>
              <w:rPr>
                <w:rFonts w:hint="eastAsia" w:ascii="宋体" w:hAnsi="宋体"/>
              </w:rPr>
            </w:pPr>
            <w:r>
              <w:rPr>
                <w:rFonts w:hint="eastAsia" w:ascii="宋体" w:hAnsi="宋体"/>
              </w:rPr>
              <w:drawing>
                <wp:inline distT="0" distB="0" distL="0" distR="0">
                  <wp:extent cx="2760980" cy="2019300"/>
                  <wp:effectExtent l="0" t="0" r="1270" b="0"/>
                  <wp:docPr id="54" name="图片 54" descr="cefe1586a1ce8ba6dab3afc61f5c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cefe1586a1ce8ba6dab3afc61f5c377"/>
                          <pic:cNvPicPr preferRelativeResize="0">
                            <a:picLocks noChangeAspect="1" noChangeArrowheads="1"/>
                          </pic:cNvPicPr>
                        </pic:nvPicPr>
                        <pic:blipFill>
                          <a:blip r:embed="rId12" cstate="screen"/>
                          <a:srcRect/>
                          <a:stretch>
                            <a:fillRect/>
                          </a:stretch>
                        </pic:blipFill>
                        <pic:spPr>
                          <a:xfrm>
                            <a:off x="0" y="0"/>
                            <a:ext cx="2761200" cy="2019600"/>
                          </a:xfrm>
                          <a:prstGeom prst="rect">
                            <a:avLst/>
                          </a:prstGeom>
                          <a:noFill/>
                          <a:ln>
                            <a:noFill/>
                          </a:ln>
                        </pic:spPr>
                      </pic:pic>
                    </a:graphicData>
                  </a:graphic>
                </wp:inline>
              </w:drawing>
            </w:r>
          </w:p>
        </w:tc>
      </w:tr>
      <w:tr w14:paraId="5232004C">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13C7E416">
            <w:pPr>
              <w:adjustRightInd w:val="0"/>
              <w:snapToGrid w:val="0"/>
              <w:spacing w:line="360" w:lineRule="exact"/>
              <w:jc w:val="center"/>
              <w:rPr>
                <w:rFonts w:hint="eastAsia" w:ascii="宋体" w:hAnsi="宋体" w:cs="宋体"/>
              </w:rPr>
            </w:pPr>
            <w:r>
              <w:rPr>
                <w:rFonts w:hint="eastAsia" w:ascii="宋体" w:hAnsi="宋体" w:cs="宋体"/>
              </w:rPr>
              <w:t>盛丰物流</w:t>
            </w:r>
          </w:p>
          <w:p w14:paraId="7685C8FA">
            <w:pPr>
              <w:adjustRightInd w:val="0"/>
              <w:snapToGrid w:val="0"/>
              <w:spacing w:line="360" w:lineRule="exact"/>
              <w:jc w:val="center"/>
              <w:rPr>
                <w:rFonts w:hint="eastAsia" w:ascii="宋体" w:hAnsi="宋体" w:cs="宋体"/>
              </w:rPr>
            </w:pPr>
            <w:r>
              <w:rPr>
                <w:rFonts w:hint="eastAsia" w:ascii="宋体" w:hAnsi="宋体" w:cs="宋体"/>
              </w:rPr>
              <w:t>《TPM全员设备维护》</w:t>
            </w:r>
          </w:p>
        </w:tc>
        <w:tc>
          <w:tcPr>
            <w:tcW w:w="4747" w:type="dxa"/>
          </w:tcPr>
          <w:p w14:paraId="057C0660">
            <w:pPr>
              <w:adjustRightInd w:val="0"/>
              <w:snapToGrid w:val="0"/>
              <w:spacing w:line="360" w:lineRule="exact"/>
              <w:jc w:val="center"/>
              <w:rPr>
                <w:rFonts w:hint="eastAsia" w:ascii="宋体" w:hAnsi="宋体" w:cs="宋体"/>
              </w:rPr>
            </w:pPr>
            <w:r>
              <w:rPr>
                <w:rFonts w:hint="eastAsia" w:ascii="宋体" w:hAnsi="宋体" w:cs="宋体"/>
              </w:rPr>
              <w:t>恩梯恩裕隆传动系统有限公司</w:t>
            </w:r>
          </w:p>
          <w:p w14:paraId="020D458E">
            <w:pPr>
              <w:adjustRightInd w:val="0"/>
              <w:snapToGrid w:val="0"/>
              <w:spacing w:line="360" w:lineRule="exact"/>
              <w:jc w:val="center"/>
              <w:rPr>
                <w:rFonts w:hint="eastAsia" w:ascii="宋体" w:hAnsi="宋体" w:cs="宋体"/>
              </w:rPr>
            </w:pPr>
            <w:r>
              <w:rPr>
                <w:rFonts w:hint="eastAsia" w:ascii="宋体" w:hAnsi="宋体" w:cs="宋体"/>
              </w:rPr>
              <w:t>《现场问题分析与解决》</w:t>
            </w:r>
          </w:p>
        </w:tc>
      </w:tr>
      <w:tr w14:paraId="39694060">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634247CA">
            <w:pPr>
              <w:rPr>
                <w:rFonts w:hint="eastAsia" w:ascii="宋体" w:hAnsi="宋体"/>
              </w:rPr>
            </w:pPr>
            <w:r>
              <w:rPr>
                <w:rFonts w:hint="eastAsia" w:ascii="宋体" w:hAnsi="宋体"/>
              </w:rPr>
              <w:drawing>
                <wp:inline distT="0" distB="0" distL="0" distR="0">
                  <wp:extent cx="2760980" cy="2019300"/>
                  <wp:effectExtent l="0" t="0" r="1270" b="0"/>
                  <wp:docPr id="53" name="图片 53" descr="微信图片_2017052009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微信图片_20170520093715"/>
                          <pic:cNvPicPr preferRelativeResize="0">
                            <a:picLocks noChangeAspect="1" noChangeArrowheads="1"/>
                          </pic:cNvPicPr>
                        </pic:nvPicPr>
                        <pic:blipFill>
                          <a:blip r:embed="rId13" cstate="screen"/>
                          <a:srcRect/>
                          <a:stretch>
                            <a:fillRect/>
                          </a:stretch>
                        </pic:blipFill>
                        <pic:spPr>
                          <a:xfrm>
                            <a:off x="0" y="0"/>
                            <a:ext cx="2761200" cy="2019600"/>
                          </a:xfrm>
                          <a:prstGeom prst="rect">
                            <a:avLst/>
                          </a:prstGeom>
                          <a:noFill/>
                          <a:ln>
                            <a:noFill/>
                          </a:ln>
                        </pic:spPr>
                      </pic:pic>
                    </a:graphicData>
                  </a:graphic>
                </wp:inline>
              </w:drawing>
            </w:r>
          </w:p>
        </w:tc>
        <w:tc>
          <w:tcPr>
            <w:tcW w:w="4747" w:type="dxa"/>
          </w:tcPr>
          <w:p w14:paraId="00C8FB9C">
            <w:pPr>
              <w:rPr>
                <w:rFonts w:hint="eastAsia" w:ascii="宋体" w:hAnsi="宋体"/>
              </w:rPr>
            </w:pPr>
            <w:r>
              <w:rPr>
                <w:rFonts w:hint="eastAsia" w:ascii="宋体" w:hAnsi="宋体"/>
              </w:rPr>
              <w:drawing>
                <wp:inline distT="0" distB="0" distL="0" distR="0">
                  <wp:extent cx="2760980" cy="2019300"/>
                  <wp:effectExtent l="0" t="0" r="1270" b="0"/>
                  <wp:docPr id="52" name="图片 52" descr="b294610e51ab17d4557c5896113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b294610e51ab17d4557c58961138421"/>
                          <pic:cNvPicPr preferRelativeResize="0">
                            <a:picLocks noChangeAspect="1" noChangeArrowheads="1"/>
                          </pic:cNvPicPr>
                        </pic:nvPicPr>
                        <pic:blipFill>
                          <a:blip r:embed="rId14" cstate="screen"/>
                          <a:srcRect/>
                          <a:stretch>
                            <a:fillRect/>
                          </a:stretch>
                        </pic:blipFill>
                        <pic:spPr>
                          <a:xfrm>
                            <a:off x="0" y="0"/>
                            <a:ext cx="2761200" cy="2019600"/>
                          </a:xfrm>
                          <a:prstGeom prst="rect">
                            <a:avLst/>
                          </a:prstGeom>
                          <a:noFill/>
                          <a:ln>
                            <a:noFill/>
                          </a:ln>
                        </pic:spPr>
                      </pic:pic>
                    </a:graphicData>
                  </a:graphic>
                </wp:inline>
              </w:drawing>
            </w:r>
          </w:p>
        </w:tc>
      </w:tr>
      <w:tr w14:paraId="1CC74AAC">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15D77F44">
            <w:pPr>
              <w:adjustRightInd w:val="0"/>
              <w:snapToGrid w:val="0"/>
              <w:spacing w:line="360" w:lineRule="exact"/>
              <w:jc w:val="center"/>
              <w:rPr>
                <w:rFonts w:hint="eastAsia" w:ascii="宋体" w:hAnsi="宋体" w:cs="宋体"/>
              </w:rPr>
            </w:pPr>
            <w:r>
              <w:rPr>
                <w:rFonts w:hint="eastAsia" w:ascii="宋体" w:hAnsi="宋体" w:cs="宋体"/>
              </w:rPr>
              <w:t>重庆汉华机械</w:t>
            </w:r>
          </w:p>
          <w:p w14:paraId="073A1139">
            <w:pPr>
              <w:adjustRightInd w:val="0"/>
              <w:snapToGrid w:val="0"/>
              <w:spacing w:line="360" w:lineRule="exact"/>
              <w:jc w:val="center"/>
              <w:rPr>
                <w:rFonts w:hint="eastAsia" w:ascii="宋体" w:hAnsi="宋体" w:cs="宋体"/>
              </w:rPr>
            </w:pPr>
            <w:r>
              <w:rPr>
                <w:rFonts w:hint="eastAsia" w:ascii="宋体" w:hAnsi="宋体" w:cs="宋体"/>
              </w:rPr>
              <w:t>《生产现场管理与问题改善》</w:t>
            </w:r>
          </w:p>
        </w:tc>
        <w:tc>
          <w:tcPr>
            <w:tcW w:w="4747" w:type="dxa"/>
          </w:tcPr>
          <w:p w14:paraId="59B3700D">
            <w:pPr>
              <w:adjustRightInd w:val="0"/>
              <w:snapToGrid w:val="0"/>
              <w:spacing w:line="360" w:lineRule="exact"/>
              <w:jc w:val="center"/>
              <w:rPr>
                <w:rFonts w:hint="eastAsia" w:ascii="宋体" w:hAnsi="宋体" w:cs="宋体"/>
              </w:rPr>
            </w:pPr>
            <w:r>
              <w:rPr>
                <w:rFonts w:hint="eastAsia" w:ascii="宋体" w:hAnsi="宋体" w:cs="宋体"/>
              </w:rPr>
              <w:t>厦门</w:t>
            </w:r>
            <w:r>
              <w:rPr>
                <w:rFonts w:ascii="宋体" w:hAnsi="宋体" w:cs="宋体"/>
              </w:rPr>
              <w:t>象屿集团有限公司</w:t>
            </w:r>
          </w:p>
          <w:p w14:paraId="53DE9357">
            <w:pPr>
              <w:adjustRightInd w:val="0"/>
              <w:snapToGrid w:val="0"/>
              <w:spacing w:line="360" w:lineRule="exact"/>
              <w:jc w:val="center"/>
              <w:rPr>
                <w:rFonts w:hint="eastAsia" w:ascii="宋体" w:hAnsi="宋体" w:cs="宋体"/>
              </w:rPr>
            </w:pPr>
            <w:r>
              <w:rPr>
                <w:rFonts w:hint="eastAsia" w:ascii="宋体" w:hAnsi="宋体" w:cs="宋体"/>
              </w:rPr>
              <w:t>《5S长效导入》</w:t>
            </w:r>
          </w:p>
        </w:tc>
      </w:tr>
      <w:tr w14:paraId="5615B06F">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248868B3">
            <w:pPr>
              <w:rPr>
                <w:rFonts w:hint="eastAsia" w:ascii="宋体" w:hAnsi="宋体"/>
              </w:rPr>
            </w:pPr>
            <w:r>
              <w:rPr>
                <w:rFonts w:hint="eastAsia" w:ascii="宋体" w:hAnsi="宋体"/>
              </w:rPr>
              <w:drawing>
                <wp:inline distT="0" distB="0" distL="0" distR="0">
                  <wp:extent cx="2760980" cy="2019300"/>
                  <wp:effectExtent l="0" t="0" r="1270" b="0"/>
                  <wp:docPr id="51" name="图片 51" descr="31b4b60a0eabc5884cc49195ecb3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31b4b60a0eabc5884cc49195ecb3276"/>
                          <pic:cNvPicPr preferRelativeResize="0">
                            <a:picLocks noChangeAspect="1" noChangeArrowheads="1"/>
                          </pic:cNvPicPr>
                        </pic:nvPicPr>
                        <pic:blipFill>
                          <a:blip r:embed="rId15" cstate="screen"/>
                          <a:srcRect/>
                          <a:stretch>
                            <a:fillRect/>
                          </a:stretch>
                        </pic:blipFill>
                        <pic:spPr>
                          <a:xfrm>
                            <a:off x="0" y="0"/>
                            <a:ext cx="2761200" cy="2019600"/>
                          </a:xfrm>
                          <a:prstGeom prst="rect">
                            <a:avLst/>
                          </a:prstGeom>
                          <a:noFill/>
                          <a:ln>
                            <a:noFill/>
                          </a:ln>
                        </pic:spPr>
                      </pic:pic>
                    </a:graphicData>
                  </a:graphic>
                </wp:inline>
              </w:drawing>
            </w:r>
          </w:p>
        </w:tc>
        <w:tc>
          <w:tcPr>
            <w:tcW w:w="4747" w:type="dxa"/>
          </w:tcPr>
          <w:p w14:paraId="2025680E">
            <w:pPr>
              <w:rPr>
                <w:rFonts w:hint="eastAsia" w:ascii="宋体" w:hAnsi="宋体"/>
              </w:rPr>
            </w:pPr>
            <w:r>
              <w:rPr>
                <w:rFonts w:hint="eastAsia" w:ascii="宋体" w:hAnsi="宋体"/>
              </w:rPr>
              <w:drawing>
                <wp:inline distT="0" distB="0" distL="0" distR="0">
                  <wp:extent cx="2760980" cy="2019300"/>
                  <wp:effectExtent l="0" t="0" r="1270" b="0"/>
                  <wp:docPr id="50" name="图片 50" descr="660c3f0223d84eaf5e65b5c1c60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660c3f0223d84eaf5e65b5c1c602284"/>
                          <pic:cNvPicPr preferRelativeResize="0">
                            <a:picLocks noChangeAspect="1" noChangeArrowheads="1"/>
                          </pic:cNvPicPr>
                        </pic:nvPicPr>
                        <pic:blipFill>
                          <a:blip r:embed="rId16" cstate="screen"/>
                          <a:srcRect/>
                          <a:stretch>
                            <a:fillRect/>
                          </a:stretch>
                        </pic:blipFill>
                        <pic:spPr>
                          <a:xfrm>
                            <a:off x="0" y="0"/>
                            <a:ext cx="2761200" cy="2019600"/>
                          </a:xfrm>
                          <a:prstGeom prst="rect">
                            <a:avLst/>
                          </a:prstGeom>
                          <a:noFill/>
                          <a:ln>
                            <a:noFill/>
                          </a:ln>
                        </pic:spPr>
                      </pic:pic>
                    </a:graphicData>
                  </a:graphic>
                </wp:inline>
              </w:drawing>
            </w:r>
          </w:p>
        </w:tc>
      </w:tr>
      <w:tr w14:paraId="26E97784">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191E79E1">
            <w:pPr>
              <w:adjustRightInd w:val="0"/>
              <w:snapToGrid w:val="0"/>
              <w:spacing w:line="360" w:lineRule="exact"/>
              <w:jc w:val="center"/>
              <w:rPr>
                <w:rFonts w:hint="eastAsia" w:ascii="宋体" w:hAnsi="宋体" w:cs="宋体"/>
              </w:rPr>
            </w:pPr>
            <w:r>
              <w:rPr>
                <w:rFonts w:hint="eastAsia" w:ascii="宋体" w:hAnsi="宋体" w:cs="宋体"/>
              </w:rPr>
              <w:t>湖南中烟</w:t>
            </w:r>
          </w:p>
          <w:p w14:paraId="41366143">
            <w:pPr>
              <w:adjustRightInd w:val="0"/>
              <w:snapToGrid w:val="0"/>
              <w:spacing w:line="360" w:lineRule="exact"/>
              <w:jc w:val="center"/>
              <w:rPr>
                <w:rFonts w:hint="eastAsia" w:ascii="宋体" w:hAnsi="宋体" w:cs="宋体"/>
              </w:rPr>
            </w:pPr>
            <w:r>
              <w:rPr>
                <w:rFonts w:hint="eastAsia" w:ascii="宋体" w:hAnsi="宋体" w:cs="宋体"/>
              </w:rPr>
              <w:t>《现场改善与生产效率提升》</w:t>
            </w:r>
          </w:p>
        </w:tc>
        <w:tc>
          <w:tcPr>
            <w:tcW w:w="4747" w:type="dxa"/>
          </w:tcPr>
          <w:p w14:paraId="5E3E2DD7">
            <w:pPr>
              <w:adjustRightInd w:val="0"/>
              <w:snapToGrid w:val="0"/>
              <w:spacing w:line="360" w:lineRule="exact"/>
              <w:jc w:val="center"/>
              <w:rPr>
                <w:rFonts w:hint="eastAsia" w:ascii="宋体" w:hAnsi="宋体" w:cs="宋体"/>
              </w:rPr>
            </w:pPr>
            <w:r>
              <w:rPr>
                <w:rFonts w:hint="eastAsia" w:ascii="宋体" w:hAnsi="宋体" w:cs="宋体"/>
              </w:rPr>
              <w:t>中山大学</w:t>
            </w:r>
          </w:p>
          <w:p w14:paraId="12717D88">
            <w:pPr>
              <w:adjustRightInd w:val="0"/>
              <w:snapToGrid w:val="0"/>
              <w:spacing w:line="360" w:lineRule="exact"/>
              <w:jc w:val="center"/>
              <w:rPr>
                <w:rFonts w:hint="eastAsia" w:ascii="宋体" w:hAnsi="宋体" w:cs="宋体"/>
              </w:rPr>
            </w:pPr>
            <w:r>
              <w:rPr>
                <w:rFonts w:hint="eastAsia" w:ascii="宋体" w:hAnsi="宋体" w:cs="宋体"/>
              </w:rPr>
              <w:t>《质量管理与精益管理》</w:t>
            </w:r>
          </w:p>
        </w:tc>
      </w:tr>
      <w:tr w14:paraId="44049FC7">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284" w:hRule="atLeast"/>
        </w:trPr>
        <w:tc>
          <w:tcPr>
            <w:tcW w:w="4746" w:type="dxa"/>
          </w:tcPr>
          <w:p w14:paraId="659AC3C4">
            <w:pPr>
              <w:rPr>
                <w:rFonts w:hint="eastAsia" w:ascii="宋体" w:hAnsi="宋体"/>
              </w:rPr>
            </w:pPr>
            <w:r>
              <w:rPr>
                <w:rFonts w:hint="eastAsia" w:ascii="宋体" w:hAnsi="宋体"/>
              </w:rPr>
              <w:drawing>
                <wp:inline distT="0" distB="0" distL="0" distR="0">
                  <wp:extent cx="2760980" cy="2019300"/>
                  <wp:effectExtent l="0" t="0" r="1270" b="0"/>
                  <wp:docPr id="49" name="图片 49" descr="6c36a66994566497e0a166109cd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6c36a66994566497e0a166109cd6566"/>
                          <pic:cNvPicPr preferRelativeResize="0">
                            <a:picLocks noChangeAspect="1" noChangeArrowheads="1"/>
                          </pic:cNvPicPr>
                        </pic:nvPicPr>
                        <pic:blipFill>
                          <a:blip r:embed="rId17" cstate="screen"/>
                          <a:srcRect/>
                          <a:stretch>
                            <a:fillRect/>
                          </a:stretch>
                        </pic:blipFill>
                        <pic:spPr>
                          <a:xfrm>
                            <a:off x="0" y="0"/>
                            <a:ext cx="2761200" cy="2019600"/>
                          </a:xfrm>
                          <a:prstGeom prst="rect">
                            <a:avLst/>
                          </a:prstGeom>
                          <a:noFill/>
                          <a:ln>
                            <a:noFill/>
                          </a:ln>
                        </pic:spPr>
                      </pic:pic>
                    </a:graphicData>
                  </a:graphic>
                </wp:inline>
              </w:drawing>
            </w:r>
          </w:p>
        </w:tc>
        <w:tc>
          <w:tcPr>
            <w:tcW w:w="4747" w:type="dxa"/>
          </w:tcPr>
          <w:p w14:paraId="7D55149C">
            <w:pPr>
              <w:rPr>
                <w:rFonts w:hint="eastAsia" w:ascii="宋体" w:hAnsi="宋体"/>
              </w:rPr>
            </w:pPr>
            <w:r>
              <w:rPr>
                <w:rFonts w:hint="eastAsia" w:ascii="宋体" w:hAnsi="宋体"/>
              </w:rPr>
              <w:drawing>
                <wp:inline distT="0" distB="0" distL="0" distR="0">
                  <wp:extent cx="2760980" cy="2019300"/>
                  <wp:effectExtent l="0" t="0" r="1270" b="0"/>
                  <wp:docPr id="48" name="图片 48" descr="微信图片_2021110114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微信图片_20211101142759"/>
                          <pic:cNvPicPr preferRelativeResize="0">
                            <a:picLocks noChangeAspect="1" noChangeArrowheads="1"/>
                          </pic:cNvPicPr>
                        </pic:nvPicPr>
                        <pic:blipFill>
                          <a:blip r:embed="rId18" cstate="screen"/>
                          <a:srcRect/>
                          <a:stretch>
                            <a:fillRect/>
                          </a:stretch>
                        </pic:blipFill>
                        <pic:spPr>
                          <a:xfrm>
                            <a:off x="0" y="0"/>
                            <a:ext cx="2761200" cy="2019600"/>
                          </a:xfrm>
                          <a:prstGeom prst="rect">
                            <a:avLst/>
                          </a:prstGeom>
                          <a:noFill/>
                          <a:ln>
                            <a:noFill/>
                          </a:ln>
                        </pic:spPr>
                      </pic:pic>
                    </a:graphicData>
                  </a:graphic>
                </wp:inline>
              </w:drawing>
            </w:r>
          </w:p>
        </w:tc>
      </w:tr>
      <w:tr w14:paraId="7C2BF652">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480" w:hRule="atLeast"/>
        </w:trPr>
        <w:tc>
          <w:tcPr>
            <w:tcW w:w="4746" w:type="dxa"/>
          </w:tcPr>
          <w:p w14:paraId="00727FEC">
            <w:pPr>
              <w:adjustRightInd w:val="0"/>
              <w:snapToGrid w:val="0"/>
              <w:spacing w:line="360" w:lineRule="exact"/>
              <w:jc w:val="center"/>
              <w:rPr>
                <w:rFonts w:hint="eastAsia" w:ascii="宋体" w:hAnsi="宋体" w:cs="宋体"/>
              </w:rPr>
            </w:pPr>
            <w:r>
              <w:rPr>
                <w:rFonts w:hint="eastAsia" w:ascii="宋体" w:hAnsi="宋体" w:cs="宋体"/>
              </w:rPr>
              <w:t>红牛维他命饮料（湖北）有限公司</w:t>
            </w:r>
          </w:p>
          <w:p w14:paraId="43A2200E">
            <w:pPr>
              <w:adjustRightInd w:val="0"/>
              <w:snapToGrid w:val="0"/>
              <w:spacing w:line="360" w:lineRule="exact"/>
              <w:jc w:val="center"/>
              <w:rPr>
                <w:rFonts w:hint="eastAsia" w:ascii="宋体" w:hAnsi="宋体" w:cs="宋体"/>
              </w:rPr>
            </w:pPr>
            <w:r>
              <w:rPr>
                <w:rFonts w:hint="eastAsia" w:ascii="宋体" w:hAnsi="宋体" w:cs="宋体"/>
              </w:rPr>
              <w:t>《新QC七大手法》</w:t>
            </w:r>
          </w:p>
        </w:tc>
        <w:tc>
          <w:tcPr>
            <w:tcW w:w="4747" w:type="dxa"/>
          </w:tcPr>
          <w:p w14:paraId="3DB49014">
            <w:pPr>
              <w:adjustRightInd w:val="0"/>
              <w:snapToGrid w:val="0"/>
              <w:spacing w:line="360" w:lineRule="exact"/>
              <w:jc w:val="center"/>
              <w:rPr>
                <w:rFonts w:hint="eastAsia" w:ascii="宋体" w:hAnsi="宋体" w:cs="宋体"/>
              </w:rPr>
            </w:pPr>
            <w:r>
              <w:rPr>
                <w:rFonts w:hint="eastAsia" w:ascii="宋体" w:hAnsi="宋体" w:cs="宋体"/>
              </w:rPr>
              <w:t>公开课</w:t>
            </w:r>
          </w:p>
          <w:p w14:paraId="53083026">
            <w:pPr>
              <w:adjustRightInd w:val="0"/>
              <w:snapToGrid w:val="0"/>
              <w:spacing w:line="360" w:lineRule="exact"/>
              <w:jc w:val="center"/>
              <w:rPr>
                <w:rFonts w:hint="eastAsia" w:ascii="宋体" w:hAnsi="宋体" w:cs="宋体"/>
              </w:rPr>
            </w:pPr>
            <w:r>
              <w:rPr>
                <w:rFonts w:hint="eastAsia" w:ascii="宋体" w:hAnsi="宋体" w:cs="宋体"/>
              </w:rPr>
              <w:t>《生产计划与物料控制管控》</w:t>
            </w:r>
          </w:p>
        </w:tc>
      </w:tr>
      <w:tr w14:paraId="5A79AF4C">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480" w:hRule="atLeast"/>
        </w:trPr>
        <w:tc>
          <w:tcPr>
            <w:tcW w:w="4746" w:type="dxa"/>
          </w:tcPr>
          <w:p w14:paraId="3D95A3CC">
            <w:pPr>
              <w:rPr>
                <w:rFonts w:hint="eastAsia" w:ascii="宋体" w:hAnsi="宋体"/>
              </w:rPr>
            </w:pPr>
            <w:r>
              <w:rPr>
                <w:rFonts w:hint="eastAsia" w:ascii="宋体" w:hAnsi="宋体"/>
              </w:rPr>
              <w:drawing>
                <wp:inline distT="0" distB="0" distL="0" distR="0">
                  <wp:extent cx="2760980" cy="2019300"/>
                  <wp:effectExtent l="0" t="0" r="1270" b="0"/>
                  <wp:docPr id="47" name="图片 47" descr="75f2426851add93e495cb93d693d4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75f2426851add93e495cb93d693d4c2"/>
                          <pic:cNvPicPr preferRelativeResize="0">
                            <a:picLocks noChangeAspect="1" noChangeArrowheads="1"/>
                          </pic:cNvPicPr>
                        </pic:nvPicPr>
                        <pic:blipFill>
                          <a:blip r:embed="rId19" cstate="screen"/>
                          <a:srcRect/>
                          <a:stretch>
                            <a:fillRect/>
                          </a:stretch>
                        </pic:blipFill>
                        <pic:spPr>
                          <a:xfrm>
                            <a:off x="0" y="0"/>
                            <a:ext cx="2761200" cy="2019600"/>
                          </a:xfrm>
                          <a:prstGeom prst="rect">
                            <a:avLst/>
                          </a:prstGeom>
                          <a:noFill/>
                          <a:ln>
                            <a:noFill/>
                          </a:ln>
                        </pic:spPr>
                      </pic:pic>
                    </a:graphicData>
                  </a:graphic>
                </wp:inline>
              </w:drawing>
            </w:r>
          </w:p>
        </w:tc>
        <w:tc>
          <w:tcPr>
            <w:tcW w:w="4747" w:type="dxa"/>
          </w:tcPr>
          <w:p w14:paraId="30B99444">
            <w:pPr>
              <w:rPr>
                <w:rFonts w:hint="eastAsia" w:ascii="宋体" w:hAnsi="宋体"/>
              </w:rPr>
            </w:pPr>
            <w:r>
              <w:rPr>
                <w:rFonts w:hint="eastAsia" w:ascii="宋体" w:hAnsi="宋体"/>
              </w:rPr>
              <w:drawing>
                <wp:inline distT="0" distB="0" distL="0" distR="0">
                  <wp:extent cx="2760980" cy="2019300"/>
                  <wp:effectExtent l="0" t="0" r="1270" b="0"/>
                  <wp:docPr id="46" name="图片 46" descr="微信图片_2017090617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微信图片_20170906174331"/>
                          <pic:cNvPicPr preferRelativeResize="0">
                            <a:picLocks noChangeAspect="1" noChangeArrowheads="1"/>
                          </pic:cNvPicPr>
                        </pic:nvPicPr>
                        <pic:blipFill>
                          <a:blip r:embed="rId20" cstate="screen"/>
                          <a:srcRect/>
                          <a:stretch>
                            <a:fillRect/>
                          </a:stretch>
                        </pic:blipFill>
                        <pic:spPr>
                          <a:xfrm>
                            <a:off x="0" y="0"/>
                            <a:ext cx="2761200" cy="2019600"/>
                          </a:xfrm>
                          <a:prstGeom prst="rect">
                            <a:avLst/>
                          </a:prstGeom>
                          <a:noFill/>
                          <a:ln>
                            <a:noFill/>
                          </a:ln>
                        </pic:spPr>
                      </pic:pic>
                    </a:graphicData>
                  </a:graphic>
                </wp:inline>
              </w:drawing>
            </w:r>
          </w:p>
        </w:tc>
      </w:tr>
      <w:tr w14:paraId="52B82393">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480" w:hRule="atLeast"/>
        </w:trPr>
        <w:tc>
          <w:tcPr>
            <w:tcW w:w="4746" w:type="dxa"/>
          </w:tcPr>
          <w:p w14:paraId="0946D21A">
            <w:pPr>
              <w:adjustRightInd w:val="0"/>
              <w:snapToGrid w:val="0"/>
              <w:spacing w:line="360" w:lineRule="exact"/>
              <w:jc w:val="center"/>
              <w:rPr>
                <w:rFonts w:hint="eastAsia" w:ascii="宋体" w:hAnsi="宋体" w:cs="宋体"/>
              </w:rPr>
            </w:pPr>
            <w:r>
              <w:rPr>
                <w:rFonts w:hint="eastAsia" w:ascii="宋体" w:hAnsi="宋体" w:cs="宋体"/>
              </w:rPr>
              <w:t>海川装备公司</w:t>
            </w:r>
          </w:p>
          <w:p w14:paraId="7CF6DA9A">
            <w:pPr>
              <w:adjustRightInd w:val="0"/>
              <w:snapToGrid w:val="0"/>
              <w:spacing w:line="360" w:lineRule="exact"/>
              <w:jc w:val="center"/>
              <w:rPr>
                <w:rFonts w:hint="eastAsia" w:ascii="宋体" w:hAnsi="宋体" w:cs="宋体"/>
              </w:rPr>
            </w:pPr>
            <w:r>
              <w:rPr>
                <w:rFonts w:hint="eastAsia" w:ascii="宋体" w:hAnsi="宋体" w:cs="宋体"/>
              </w:rPr>
              <w:t>《IE七大手法的运用》</w:t>
            </w:r>
          </w:p>
        </w:tc>
        <w:tc>
          <w:tcPr>
            <w:tcW w:w="4747" w:type="dxa"/>
          </w:tcPr>
          <w:p w14:paraId="252D37C3">
            <w:pPr>
              <w:adjustRightInd w:val="0"/>
              <w:snapToGrid w:val="0"/>
              <w:spacing w:line="360" w:lineRule="exact"/>
              <w:jc w:val="center"/>
              <w:rPr>
                <w:rFonts w:hint="eastAsia" w:ascii="宋体" w:hAnsi="宋体" w:cs="宋体"/>
              </w:rPr>
            </w:pPr>
            <w:r>
              <w:rPr>
                <w:rFonts w:hint="eastAsia" w:ascii="宋体" w:hAnsi="宋体" w:cs="宋体"/>
              </w:rPr>
              <w:t>河南平高电气</w:t>
            </w:r>
          </w:p>
          <w:p w14:paraId="52C10A62">
            <w:pPr>
              <w:adjustRightInd w:val="0"/>
              <w:snapToGrid w:val="0"/>
              <w:spacing w:line="360" w:lineRule="exact"/>
              <w:jc w:val="center"/>
              <w:rPr>
                <w:rFonts w:hint="eastAsia" w:ascii="宋体" w:hAnsi="宋体" w:cs="宋体"/>
              </w:rPr>
            </w:pPr>
            <w:r>
              <w:rPr>
                <w:rFonts w:hint="eastAsia" w:ascii="宋体" w:hAnsi="宋体" w:cs="宋体"/>
              </w:rPr>
              <w:t>《生产运营管理》</w:t>
            </w:r>
          </w:p>
        </w:tc>
      </w:tr>
      <w:tr w14:paraId="158C7785">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480" w:hRule="atLeast"/>
        </w:trPr>
        <w:tc>
          <w:tcPr>
            <w:tcW w:w="4746" w:type="dxa"/>
          </w:tcPr>
          <w:p w14:paraId="7D398D4C">
            <w:pPr>
              <w:rPr>
                <w:rFonts w:hint="eastAsia" w:ascii="宋体" w:hAnsi="宋体"/>
              </w:rPr>
            </w:pPr>
            <w:r>
              <w:rPr>
                <w:rFonts w:hint="eastAsia" w:ascii="宋体" w:hAnsi="宋体"/>
              </w:rPr>
              <w:drawing>
                <wp:inline distT="0" distB="0" distL="0" distR="0">
                  <wp:extent cx="2760980" cy="2019300"/>
                  <wp:effectExtent l="0" t="0" r="1270" b="0"/>
                  <wp:docPr id="45" name="图片 45" descr="微信图片_20180412202609 - 副本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微信图片_20180412202609 - 副本 - 副本"/>
                          <pic:cNvPicPr preferRelativeResize="0">
                            <a:picLocks noChangeAspect="1" noChangeArrowheads="1"/>
                          </pic:cNvPicPr>
                        </pic:nvPicPr>
                        <pic:blipFill>
                          <a:blip r:embed="rId21" cstate="screen"/>
                          <a:srcRect/>
                          <a:stretch>
                            <a:fillRect/>
                          </a:stretch>
                        </pic:blipFill>
                        <pic:spPr>
                          <a:xfrm>
                            <a:off x="0" y="0"/>
                            <a:ext cx="2761200" cy="2019600"/>
                          </a:xfrm>
                          <a:prstGeom prst="rect">
                            <a:avLst/>
                          </a:prstGeom>
                          <a:noFill/>
                          <a:ln>
                            <a:noFill/>
                          </a:ln>
                        </pic:spPr>
                      </pic:pic>
                    </a:graphicData>
                  </a:graphic>
                </wp:inline>
              </w:drawing>
            </w:r>
          </w:p>
        </w:tc>
        <w:tc>
          <w:tcPr>
            <w:tcW w:w="4747" w:type="dxa"/>
          </w:tcPr>
          <w:p w14:paraId="23EEA714">
            <w:pPr>
              <w:rPr>
                <w:rFonts w:hint="eastAsia" w:ascii="宋体" w:hAnsi="宋体"/>
              </w:rPr>
            </w:pPr>
            <w:r>
              <w:rPr>
                <w:rFonts w:hint="eastAsia" w:ascii="宋体" w:hAnsi="宋体"/>
              </w:rPr>
              <w:drawing>
                <wp:inline distT="0" distB="0" distL="0" distR="0">
                  <wp:extent cx="2760980" cy="2019300"/>
                  <wp:effectExtent l="0" t="0" r="1270" b="0"/>
                  <wp:docPr id="44" name="图片 44" descr="微信图片_2017051621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微信图片_20170516210122"/>
                          <pic:cNvPicPr preferRelativeResize="0">
                            <a:picLocks noChangeAspect="1" noChangeArrowheads="1"/>
                          </pic:cNvPicPr>
                        </pic:nvPicPr>
                        <pic:blipFill>
                          <a:blip r:embed="rId22" cstate="screen"/>
                          <a:srcRect/>
                          <a:stretch>
                            <a:fillRect/>
                          </a:stretch>
                        </pic:blipFill>
                        <pic:spPr>
                          <a:xfrm>
                            <a:off x="0" y="0"/>
                            <a:ext cx="2761200" cy="2019600"/>
                          </a:xfrm>
                          <a:prstGeom prst="rect">
                            <a:avLst/>
                          </a:prstGeom>
                          <a:noFill/>
                          <a:ln>
                            <a:noFill/>
                          </a:ln>
                        </pic:spPr>
                      </pic:pic>
                    </a:graphicData>
                  </a:graphic>
                </wp:inline>
              </w:drawing>
            </w:r>
          </w:p>
        </w:tc>
      </w:tr>
      <w:tr w14:paraId="23B42DB9">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480" w:hRule="atLeast"/>
        </w:trPr>
        <w:tc>
          <w:tcPr>
            <w:tcW w:w="4746" w:type="dxa"/>
          </w:tcPr>
          <w:p w14:paraId="48D1E735">
            <w:pPr>
              <w:adjustRightInd w:val="0"/>
              <w:snapToGrid w:val="0"/>
              <w:spacing w:line="360" w:lineRule="exact"/>
              <w:jc w:val="center"/>
              <w:rPr>
                <w:rFonts w:hint="eastAsia" w:ascii="宋体" w:hAnsi="宋体" w:cs="宋体"/>
              </w:rPr>
            </w:pPr>
            <w:r>
              <w:rPr>
                <w:rFonts w:hint="eastAsia" w:ascii="宋体" w:hAnsi="宋体" w:cs="宋体"/>
              </w:rPr>
              <w:t>深圳万丰摩托</w:t>
            </w:r>
          </w:p>
          <w:p w14:paraId="379FB771">
            <w:pPr>
              <w:adjustRightInd w:val="0"/>
              <w:snapToGrid w:val="0"/>
              <w:spacing w:line="360" w:lineRule="exact"/>
              <w:jc w:val="center"/>
              <w:rPr>
                <w:rFonts w:hint="eastAsia" w:ascii="宋体" w:hAnsi="宋体" w:cs="宋体"/>
              </w:rPr>
            </w:pPr>
            <w:r>
              <w:rPr>
                <w:rFonts w:hint="eastAsia" w:ascii="宋体" w:hAnsi="宋体" w:cs="宋体"/>
              </w:rPr>
              <w:t>《TWI—一线主管能力提升》</w:t>
            </w:r>
          </w:p>
        </w:tc>
        <w:tc>
          <w:tcPr>
            <w:tcW w:w="4747" w:type="dxa"/>
          </w:tcPr>
          <w:p w14:paraId="054D4611">
            <w:pPr>
              <w:adjustRightInd w:val="0"/>
              <w:snapToGrid w:val="0"/>
              <w:spacing w:line="360" w:lineRule="exact"/>
              <w:jc w:val="center"/>
              <w:rPr>
                <w:rFonts w:hint="eastAsia" w:ascii="宋体" w:hAnsi="宋体" w:cs="宋体"/>
              </w:rPr>
            </w:pPr>
            <w:r>
              <w:rPr>
                <w:rFonts w:hint="eastAsia" w:ascii="宋体" w:hAnsi="宋体" w:cs="宋体"/>
              </w:rPr>
              <w:t>海南江铃摩托</w:t>
            </w:r>
          </w:p>
          <w:p w14:paraId="0085AFC1">
            <w:pPr>
              <w:adjustRightInd w:val="0"/>
              <w:snapToGrid w:val="0"/>
              <w:spacing w:line="360" w:lineRule="exact"/>
              <w:jc w:val="center"/>
              <w:rPr>
                <w:rFonts w:hint="eastAsia" w:ascii="宋体" w:hAnsi="宋体" w:cs="宋体"/>
              </w:rPr>
            </w:pPr>
            <w:r>
              <w:rPr>
                <w:rFonts w:hint="eastAsia" w:ascii="宋体" w:hAnsi="宋体" w:cs="宋体"/>
              </w:rPr>
              <w:t>《现场改善与问题分析解决》</w:t>
            </w:r>
          </w:p>
        </w:tc>
      </w:tr>
      <w:tr w14:paraId="42060F7B">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3317" w:hRule="atLeast"/>
        </w:trPr>
        <w:tc>
          <w:tcPr>
            <w:tcW w:w="4746" w:type="dxa"/>
          </w:tcPr>
          <w:p w14:paraId="524AC4EF">
            <w:pPr>
              <w:adjustRightInd w:val="0"/>
              <w:snapToGrid w:val="0"/>
              <w:spacing w:line="360" w:lineRule="exact"/>
              <w:jc w:val="center"/>
              <w:rPr>
                <w:rFonts w:hint="eastAsia" w:ascii="宋体" w:hAnsi="宋体" w:cs="宋体"/>
              </w:rPr>
            </w:pPr>
            <w:r>
              <w:rPr>
                <w:rFonts w:hint="eastAsia" w:ascii="宋体" w:hAnsi="宋体" w:cs="宋体"/>
              </w:rPr>
              <w:drawing>
                <wp:anchor distT="0" distB="0" distL="114300" distR="114300" simplePos="0" relativeHeight="251660288" behindDoc="0" locked="0" layoutInCell="1" allowOverlap="1">
                  <wp:simplePos x="0" y="0"/>
                  <wp:positionH relativeFrom="column">
                    <wp:posOffset>1905</wp:posOffset>
                  </wp:positionH>
                  <wp:positionV relativeFrom="paragraph">
                    <wp:posOffset>33020</wp:posOffset>
                  </wp:positionV>
                  <wp:extent cx="2760980" cy="2019300"/>
                  <wp:effectExtent l="0" t="0" r="1270" b="0"/>
                  <wp:wrapNone/>
                  <wp:docPr id="65" name="图片 65" descr="微信图片_2020091519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微信图片_20200915192952"/>
                          <pic:cNvPicPr preferRelativeResize="0">
                            <a:picLocks noChangeAspect="1" noChangeArrowheads="1"/>
                          </pic:cNvPicPr>
                        </pic:nvPicPr>
                        <pic:blipFill>
                          <a:blip r:embed="rId23" cstate="screen"/>
                          <a:srcRect/>
                          <a:stretch>
                            <a:fillRect/>
                          </a:stretch>
                        </pic:blipFill>
                        <pic:spPr>
                          <a:xfrm>
                            <a:off x="0" y="0"/>
                            <a:ext cx="2761200" cy="2019600"/>
                          </a:xfrm>
                          <a:prstGeom prst="rect">
                            <a:avLst/>
                          </a:prstGeom>
                          <a:noFill/>
                          <a:ln>
                            <a:noFill/>
                          </a:ln>
                        </pic:spPr>
                      </pic:pic>
                    </a:graphicData>
                  </a:graphic>
                </wp:anchor>
              </w:drawing>
            </w:r>
          </w:p>
        </w:tc>
        <w:tc>
          <w:tcPr>
            <w:tcW w:w="4747" w:type="dxa"/>
          </w:tcPr>
          <w:p w14:paraId="1971E90B">
            <w:pPr>
              <w:adjustRightInd w:val="0"/>
              <w:snapToGrid w:val="0"/>
              <w:spacing w:line="360" w:lineRule="exact"/>
              <w:jc w:val="center"/>
              <w:rPr>
                <w:rFonts w:hint="eastAsia" w:ascii="宋体" w:hAnsi="宋体" w:cs="宋体"/>
              </w:rPr>
            </w:pPr>
            <w:r>
              <w:rPr>
                <w:rFonts w:hint="eastAsia" w:ascii="宋体" w:hAnsi="宋体" w:cs="宋体"/>
              </w:rPr>
              <w:drawing>
                <wp:anchor distT="0" distB="0" distL="114300" distR="114300" simplePos="0" relativeHeight="251661312" behindDoc="0" locked="0" layoutInCell="1" allowOverlap="1">
                  <wp:simplePos x="0" y="0"/>
                  <wp:positionH relativeFrom="column">
                    <wp:posOffset>-4445</wp:posOffset>
                  </wp:positionH>
                  <wp:positionV relativeFrom="paragraph">
                    <wp:posOffset>57150</wp:posOffset>
                  </wp:positionV>
                  <wp:extent cx="2760980" cy="2019300"/>
                  <wp:effectExtent l="0" t="0" r="1270" b="0"/>
                  <wp:wrapNone/>
                  <wp:docPr id="64" name="图片 64" descr="微信图片_2020092120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微信图片_20200921201923"/>
                          <pic:cNvPicPr preferRelativeResize="0">
                            <a:picLocks noChangeAspect="1" noChangeArrowheads="1"/>
                          </pic:cNvPicPr>
                        </pic:nvPicPr>
                        <pic:blipFill>
                          <a:blip r:embed="rId24" cstate="screen"/>
                          <a:srcRect/>
                          <a:stretch>
                            <a:fillRect/>
                          </a:stretch>
                        </pic:blipFill>
                        <pic:spPr>
                          <a:xfrm>
                            <a:off x="0" y="0"/>
                            <a:ext cx="2761200" cy="2019600"/>
                          </a:xfrm>
                          <a:prstGeom prst="rect">
                            <a:avLst/>
                          </a:prstGeom>
                          <a:noFill/>
                          <a:ln>
                            <a:noFill/>
                          </a:ln>
                        </pic:spPr>
                      </pic:pic>
                    </a:graphicData>
                  </a:graphic>
                </wp:anchor>
              </w:drawing>
            </w:r>
          </w:p>
        </w:tc>
      </w:tr>
      <w:tr w14:paraId="45B4BAC9">
        <w:tblPrEx>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Ex>
        <w:trPr>
          <w:trHeight w:val="526" w:hRule="atLeast"/>
        </w:trPr>
        <w:tc>
          <w:tcPr>
            <w:tcW w:w="4746" w:type="dxa"/>
          </w:tcPr>
          <w:p w14:paraId="7D8CBC45">
            <w:pPr>
              <w:adjustRightInd w:val="0"/>
              <w:snapToGrid w:val="0"/>
              <w:spacing w:line="360" w:lineRule="exact"/>
              <w:jc w:val="center"/>
              <w:rPr>
                <w:rFonts w:hint="eastAsia" w:ascii="宋体" w:hAnsi="宋体" w:cs="宋体"/>
              </w:rPr>
            </w:pPr>
            <w:r>
              <w:rPr>
                <w:rFonts w:hint="eastAsia" w:ascii="宋体" w:hAnsi="宋体" w:cs="宋体"/>
              </w:rPr>
              <w:t>东莞顶峰实业</w:t>
            </w:r>
          </w:p>
          <w:p w14:paraId="1B1F9410">
            <w:pPr>
              <w:adjustRightInd w:val="0"/>
              <w:snapToGrid w:val="0"/>
              <w:spacing w:line="360" w:lineRule="exact"/>
              <w:jc w:val="center"/>
              <w:rPr>
                <w:rFonts w:hint="eastAsia" w:ascii="宋体" w:hAnsi="宋体" w:cs="宋体"/>
              </w:rPr>
            </w:pPr>
            <w:r>
              <w:rPr>
                <w:rFonts w:hint="eastAsia" w:ascii="宋体" w:hAnsi="宋体" w:cs="宋体"/>
              </w:rPr>
              <w:t>《精益生产LP》</w:t>
            </w:r>
          </w:p>
        </w:tc>
        <w:tc>
          <w:tcPr>
            <w:tcW w:w="4747" w:type="dxa"/>
          </w:tcPr>
          <w:p w14:paraId="257FD9FE">
            <w:pPr>
              <w:adjustRightInd w:val="0"/>
              <w:snapToGrid w:val="0"/>
              <w:spacing w:line="360" w:lineRule="exact"/>
              <w:jc w:val="center"/>
              <w:rPr>
                <w:rFonts w:hint="eastAsia" w:ascii="宋体" w:hAnsi="宋体" w:cs="宋体"/>
              </w:rPr>
            </w:pPr>
            <w:r>
              <w:rPr>
                <w:rFonts w:hint="eastAsia" w:ascii="宋体" w:hAnsi="宋体" w:cs="宋体"/>
              </w:rPr>
              <w:t>深圳京泉华方</w:t>
            </w:r>
          </w:p>
          <w:p w14:paraId="34DAB73F">
            <w:pPr>
              <w:adjustRightInd w:val="0"/>
              <w:snapToGrid w:val="0"/>
              <w:spacing w:line="360" w:lineRule="exact"/>
              <w:jc w:val="center"/>
              <w:rPr>
                <w:rFonts w:hint="eastAsia" w:ascii="宋体" w:hAnsi="宋体" w:cs="宋体"/>
              </w:rPr>
            </w:pPr>
            <w:r>
              <w:rPr>
                <w:rFonts w:hint="eastAsia" w:ascii="宋体" w:hAnsi="宋体" w:cs="宋体"/>
              </w:rPr>
              <w:t>《金牌班组长管理能力提升》</w:t>
            </w:r>
          </w:p>
        </w:tc>
      </w:tr>
    </w:tbl>
    <w:p w14:paraId="416E9520">
      <w:pPr>
        <w:adjustRightInd w:val="0"/>
        <w:snapToGrid w:val="0"/>
        <w:spacing w:line="400" w:lineRule="exact"/>
        <w:jc w:val="left"/>
        <w:rPr>
          <w:rFonts w:hint="eastAsia" w:ascii="宋体" w:hAnsi="宋体" w:cs="宋体"/>
          <w:b/>
          <w:bCs/>
          <w:sz w:val="24"/>
          <w:szCs w:val="24"/>
        </w:rPr>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A6D"/>
    <w:rsid w:val="00000FAA"/>
    <w:rsid w:val="00003D91"/>
    <w:rsid w:val="00011248"/>
    <w:rsid w:val="000119A0"/>
    <w:rsid w:val="00011E30"/>
    <w:rsid w:val="00016191"/>
    <w:rsid w:val="0001673D"/>
    <w:rsid w:val="00023931"/>
    <w:rsid w:val="00027D84"/>
    <w:rsid w:val="0003030E"/>
    <w:rsid w:val="00037D59"/>
    <w:rsid w:val="000420C9"/>
    <w:rsid w:val="00043F8F"/>
    <w:rsid w:val="00050C34"/>
    <w:rsid w:val="000514C9"/>
    <w:rsid w:val="00051616"/>
    <w:rsid w:val="0005306F"/>
    <w:rsid w:val="00054EEB"/>
    <w:rsid w:val="00055B18"/>
    <w:rsid w:val="000707B0"/>
    <w:rsid w:val="00075BD2"/>
    <w:rsid w:val="00076C6D"/>
    <w:rsid w:val="00077ED4"/>
    <w:rsid w:val="000873E6"/>
    <w:rsid w:val="0009298E"/>
    <w:rsid w:val="00092BCF"/>
    <w:rsid w:val="00094D12"/>
    <w:rsid w:val="00095EF7"/>
    <w:rsid w:val="00097717"/>
    <w:rsid w:val="000A3A0F"/>
    <w:rsid w:val="000A41CE"/>
    <w:rsid w:val="000A49C5"/>
    <w:rsid w:val="000A7921"/>
    <w:rsid w:val="000B1146"/>
    <w:rsid w:val="000B4231"/>
    <w:rsid w:val="000B6223"/>
    <w:rsid w:val="000C024B"/>
    <w:rsid w:val="000C4781"/>
    <w:rsid w:val="000C5C9E"/>
    <w:rsid w:val="000C7ACE"/>
    <w:rsid w:val="000C7C0F"/>
    <w:rsid w:val="000D4D31"/>
    <w:rsid w:val="000D6C55"/>
    <w:rsid w:val="000E02C8"/>
    <w:rsid w:val="000E0B84"/>
    <w:rsid w:val="000E1204"/>
    <w:rsid w:val="000E233E"/>
    <w:rsid w:val="000F0907"/>
    <w:rsid w:val="000F2C60"/>
    <w:rsid w:val="000F3A40"/>
    <w:rsid w:val="001001FF"/>
    <w:rsid w:val="0010056E"/>
    <w:rsid w:val="00100A0F"/>
    <w:rsid w:val="001011BC"/>
    <w:rsid w:val="00104D2F"/>
    <w:rsid w:val="00104FA7"/>
    <w:rsid w:val="001050C7"/>
    <w:rsid w:val="001070E1"/>
    <w:rsid w:val="0010716C"/>
    <w:rsid w:val="001072B8"/>
    <w:rsid w:val="001106DB"/>
    <w:rsid w:val="00110AE2"/>
    <w:rsid w:val="001120EF"/>
    <w:rsid w:val="0011312B"/>
    <w:rsid w:val="00116001"/>
    <w:rsid w:val="0011709E"/>
    <w:rsid w:val="00117AA5"/>
    <w:rsid w:val="00122A76"/>
    <w:rsid w:val="00123CB0"/>
    <w:rsid w:val="00127431"/>
    <w:rsid w:val="00127DD4"/>
    <w:rsid w:val="001302A7"/>
    <w:rsid w:val="0013049E"/>
    <w:rsid w:val="001311F2"/>
    <w:rsid w:val="0013287E"/>
    <w:rsid w:val="00137816"/>
    <w:rsid w:val="00137A7D"/>
    <w:rsid w:val="00140518"/>
    <w:rsid w:val="00140A15"/>
    <w:rsid w:val="00141ADE"/>
    <w:rsid w:val="00142B54"/>
    <w:rsid w:val="00147EF9"/>
    <w:rsid w:val="00147FF9"/>
    <w:rsid w:val="00152502"/>
    <w:rsid w:val="00155752"/>
    <w:rsid w:val="00156D82"/>
    <w:rsid w:val="001570DE"/>
    <w:rsid w:val="00166071"/>
    <w:rsid w:val="00166BD7"/>
    <w:rsid w:val="00170E14"/>
    <w:rsid w:val="001734AA"/>
    <w:rsid w:val="00176FCE"/>
    <w:rsid w:val="00183585"/>
    <w:rsid w:val="00184586"/>
    <w:rsid w:val="001849F6"/>
    <w:rsid w:val="001857C9"/>
    <w:rsid w:val="001869D6"/>
    <w:rsid w:val="00186EC4"/>
    <w:rsid w:val="0018707D"/>
    <w:rsid w:val="00190133"/>
    <w:rsid w:val="001945D9"/>
    <w:rsid w:val="001947AB"/>
    <w:rsid w:val="00195EFE"/>
    <w:rsid w:val="001978C2"/>
    <w:rsid w:val="001A077B"/>
    <w:rsid w:val="001A20EC"/>
    <w:rsid w:val="001A435E"/>
    <w:rsid w:val="001A79FE"/>
    <w:rsid w:val="001B0B07"/>
    <w:rsid w:val="001B5D80"/>
    <w:rsid w:val="001C3ACB"/>
    <w:rsid w:val="001C43B9"/>
    <w:rsid w:val="001C792E"/>
    <w:rsid w:val="001D4BA5"/>
    <w:rsid w:val="001D539C"/>
    <w:rsid w:val="001E3727"/>
    <w:rsid w:val="001E3F74"/>
    <w:rsid w:val="001F0AD6"/>
    <w:rsid w:val="001F1208"/>
    <w:rsid w:val="001F3F49"/>
    <w:rsid w:val="001F607E"/>
    <w:rsid w:val="001F7CB0"/>
    <w:rsid w:val="00200646"/>
    <w:rsid w:val="00202689"/>
    <w:rsid w:val="00207251"/>
    <w:rsid w:val="00210E1E"/>
    <w:rsid w:val="00210FDF"/>
    <w:rsid w:val="00212AA8"/>
    <w:rsid w:val="002137DA"/>
    <w:rsid w:val="002150EB"/>
    <w:rsid w:val="002166E3"/>
    <w:rsid w:val="00216EF2"/>
    <w:rsid w:val="00220068"/>
    <w:rsid w:val="00220415"/>
    <w:rsid w:val="002214D1"/>
    <w:rsid w:val="00223887"/>
    <w:rsid w:val="00223FD3"/>
    <w:rsid w:val="00226F81"/>
    <w:rsid w:val="002304C2"/>
    <w:rsid w:val="00230A13"/>
    <w:rsid w:val="00236781"/>
    <w:rsid w:val="002369DD"/>
    <w:rsid w:val="00237726"/>
    <w:rsid w:val="002406F6"/>
    <w:rsid w:val="00244068"/>
    <w:rsid w:val="0024599A"/>
    <w:rsid w:val="00250DC6"/>
    <w:rsid w:val="002525E4"/>
    <w:rsid w:val="00252C98"/>
    <w:rsid w:val="002533E2"/>
    <w:rsid w:val="0025367C"/>
    <w:rsid w:val="002543A7"/>
    <w:rsid w:val="002546A5"/>
    <w:rsid w:val="00254E17"/>
    <w:rsid w:val="00257DD7"/>
    <w:rsid w:val="0026137A"/>
    <w:rsid w:val="002622CA"/>
    <w:rsid w:val="00264A28"/>
    <w:rsid w:val="00270FD7"/>
    <w:rsid w:val="00277FC4"/>
    <w:rsid w:val="00281758"/>
    <w:rsid w:val="00284FC7"/>
    <w:rsid w:val="00286E5D"/>
    <w:rsid w:val="00290DB9"/>
    <w:rsid w:val="0029346D"/>
    <w:rsid w:val="002A0EE2"/>
    <w:rsid w:val="002A203D"/>
    <w:rsid w:val="002A49D4"/>
    <w:rsid w:val="002A6856"/>
    <w:rsid w:val="002A6E34"/>
    <w:rsid w:val="002B0578"/>
    <w:rsid w:val="002B15FA"/>
    <w:rsid w:val="002B25A4"/>
    <w:rsid w:val="002B5AC3"/>
    <w:rsid w:val="002B6869"/>
    <w:rsid w:val="002C0DB8"/>
    <w:rsid w:val="002C181B"/>
    <w:rsid w:val="002C282C"/>
    <w:rsid w:val="002D1609"/>
    <w:rsid w:val="002D2FE7"/>
    <w:rsid w:val="002D468E"/>
    <w:rsid w:val="002D5793"/>
    <w:rsid w:val="002E0D12"/>
    <w:rsid w:val="002E0DC4"/>
    <w:rsid w:val="002E2446"/>
    <w:rsid w:val="002E6700"/>
    <w:rsid w:val="002F010C"/>
    <w:rsid w:val="002F2F61"/>
    <w:rsid w:val="002F3052"/>
    <w:rsid w:val="002F35C0"/>
    <w:rsid w:val="002F5106"/>
    <w:rsid w:val="002F568A"/>
    <w:rsid w:val="002F7E83"/>
    <w:rsid w:val="00300D0B"/>
    <w:rsid w:val="00302389"/>
    <w:rsid w:val="00302BC9"/>
    <w:rsid w:val="003077A1"/>
    <w:rsid w:val="00310EDA"/>
    <w:rsid w:val="00312691"/>
    <w:rsid w:val="003149F1"/>
    <w:rsid w:val="00316041"/>
    <w:rsid w:val="0032158E"/>
    <w:rsid w:val="003216EC"/>
    <w:rsid w:val="00324AE3"/>
    <w:rsid w:val="00324E13"/>
    <w:rsid w:val="00324E1E"/>
    <w:rsid w:val="003255C6"/>
    <w:rsid w:val="00326110"/>
    <w:rsid w:val="00327740"/>
    <w:rsid w:val="00332380"/>
    <w:rsid w:val="0033610E"/>
    <w:rsid w:val="00340FC9"/>
    <w:rsid w:val="00342881"/>
    <w:rsid w:val="003437F8"/>
    <w:rsid w:val="0034486D"/>
    <w:rsid w:val="003509FB"/>
    <w:rsid w:val="0035370D"/>
    <w:rsid w:val="00354633"/>
    <w:rsid w:val="00355860"/>
    <w:rsid w:val="00356164"/>
    <w:rsid w:val="00357BEF"/>
    <w:rsid w:val="00361134"/>
    <w:rsid w:val="00361E48"/>
    <w:rsid w:val="00361F8A"/>
    <w:rsid w:val="003622EE"/>
    <w:rsid w:val="00363D79"/>
    <w:rsid w:val="00364818"/>
    <w:rsid w:val="00364BDD"/>
    <w:rsid w:val="0036525E"/>
    <w:rsid w:val="00365703"/>
    <w:rsid w:val="00365939"/>
    <w:rsid w:val="00365CF0"/>
    <w:rsid w:val="0036624A"/>
    <w:rsid w:val="003818E1"/>
    <w:rsid w:val="00387C82"/>
    <w:rsid w:val="0039388B"/>
    <w:rsid w:val="00395AA6"/>
    <w:rsid w:val="00397181"/>
    <w:rsid w:val="003A16C5"/>
    <w:rsid w:val="003A1817"/>
    <w:rsid w:val="003A3C39"/>
    <w:rsid w:val="003A5090"/>
    <w:rsid w:val="003A681B"/>
    <w:rsid w:val="003A6C51"/>
    <w:rsid w:val="003A6FC5"/>
    <w:rsid w:val="003B4AB7"/>
    <w:rsid w:val="003B4F2C"/>
    <w:rsid w:val="003C00FF"/>
    <w:rsid w:val="003C43AB"/>
    <w:rsid w:val="003C56C0"/>
    <w:rsid w:val="003C58FB"/>
    <w:rsid w:val="003C5FAD"/>
    <w:rsid w:val="003D41C9"/>
    <w:rsid w:val="003D7B93"/>
    <w:rsid w:val="003E2A42"/>
    <w:rsid w:val="003E3EAD"/>
    <w:rsid w:val="003E4FF8"/>
    <w:rsid w:val="003E656B"/>
    <w:rsid w:val="003E6E75"/>
    <w:rsid w:val="003E78D8"/>
    <w:rsid w:val="003F0D2E"/>
    <w:rsid w:val="003F1382"/>
    <w:rsid w:val="003F2CC6"/>
    <w:rsid w:val="003F4003"/>
    <w:rsid w:val="003F6ADD"/>
    <w:rsid w:val="0040373A"/>
    <w:rsid w:val="004045C3"/>
    <w:rsid w:val="00404A6F"/>
    <w:rsid w:val="00406F81"/>
    <w:rsid w:val="00410880"/>
    <w:rsid w:val="004114F4"/>
    <w:rsid w:val="00412D29"/>
    <w:rsid w:val="00413466"/>
    <w:rsid w:val="00413A0D"/>
    <w:rsid w:val="00415055"/>
    <w:rsid w:val="00415C5F"/>
    <w:rsid w:val="00417683"/>
    <w:rsid w:val="00420A6D"/>
    <w:rsid w:val="004216E6"/>
    <w:rsid w:val="00424402"/>
    <w:rsid w:val="004325B0"/>
    <w:rsid w:val="00435161"/>
    <w:rsid w:val="004356DA"/>
    <w:rsid w:val="00436BF8"/>
    <w:rsid w:val="00437600"/>
    <w:rsid w:val="004405C7"/>
    <w:rsid w:val="00443AB4"/>
    <w:rsid w:val="00444725"/>
    <w:rsid w:val="004460E9"/>
    <w:rsid w:val="00451AEA"/>
    <w:rsid w:val="0045204A"/>
    <w:rsid w:val="00454682"/>
    <w:rsid w:val="0045470E"/>
    <w:rsid w:val="00455A6D"/>
    <w:rsid w:val="00456D3F"/>
    <w:rsid w:val="004644A6"/>
    <w:rsid w:val="00464885"/>
    <w:rsid w:val="00473270"/>
    <w:rsid w:val="004732FE"/>
    <w:rsid w:val="00473E7E"/>
    <w:rsid w:val="004765E0"/>
    <w:rsid w:val="004852D4"/>
    <w:rsid w:val="0049096D"/>
    <w:rsid w:val="00494B31"/>
    <w:rsid w:val="004960D4"/>
    <w:rsid w:val="004A0B19"/>
    <w:rsid w:val="004A1EA0"/>
    <w:rsid w:val="004A7751"/>
    <w:rsid w:val="004B00E6"/>
    <w:rsid w:val="004B0A00"/>
    <w:rsid w:val="004B480D"/>
    <w:rsid w:val="004B522C"/>
    <w:rsid w:val="004B5C0A"/>
    <w:rsid w:val="004B7759"/>
    <w:rsid w:val="004C0565"/>
    <w:rsid w:val="004C299A"/>
    <w:rsid w:val="004C3724"/>
    <w:rsid w:val="004C4624"/>
    <w:rsid w:val="004D2A97"/>
    <w:rsid w:val="004E26D2"/>
    <w:rsid w:val="004E3946"/>
    <w:rsid w:val="004E4BC4"/>
    <w:rsid w:val="004E63C1"/>
    <w:rsid w:val="004E7B0C"/>
    <w:rsid w:val="004F1946"/>
    <w:rsid w:val="004F4191"/>
    <w:rsid w:val="004F63BB"/>
    <w:rsid w:val="004F693A"/>
    <w:rsid w:val="004F71F1"/>
    <w:rsid w:val="00501500"/>
    <w:rsid w:val="0050272F"/>
    <w:rsid w:val="00502C22"/>
    <w:rsid w:val="00505C30"/>
    <w:rsid w:val="00511577"/>
    <w:rsid w:val="00511890"/>
    <w:rsid w:val="00515A68"/>
    <w:rsid w:val="00516ABC"/>
    <w:rsid w:val="00520B00"/>
    <w:rsid w:val="005212C2"/>
    <w:rsid w:val="00521BFE"/>
    <w:rsid w:val="0052367C"/>
    <w:rsid w:val="00523FE3"/>
    <w:rsid w:val="00525D37"/>
    <w:rsid w:val="00526756"/>
    <w:rsid w:val="00531941"/>
    <w:rsid w:val="00531A4E"/>
    <w:rsid w:val="005333FF"/>
    <w:rsid w:val="00534353"/>
    <w:rsid w:val="0053699B"/>
    <w:rsid w:val="005372C9"/>
    <w:rsid w:val="00537877"/>
    <w:rsid w:val="005404C7"/>
    <w:rsid w:val="0054670B"/>
    <w:rsid w:val="005471FE"/>
    <w:rsid w:val="0054751D"/>
    <w:rsid w:val="00551654"/>
    <w:rsid w:val="00552045"/>
    <w:rsid w:val="005527CA"/>
    <w:rsid w:val="00553D62"/>
    <w:rsid w:val="005542A6"/>
    <w:rsid w:val="005603C9"/>
    <w:rsid w:val="00560C85"/>
    <w:rsid w:val="00561746"/>
    <w:rsid w:val="0056488F"/>
    <w:rsid w:val="00566959"/>
    <w:rsid w:val="00573B4F"/>
    <w:rsid w:val="005742AB"/>
    <w:rsid w:val="005751AF"/>
    <w:rsid w:val="00581D85"/>
    <w:rsid w:val="0058426F"/>
    <w:rsid w:val="0058691E"/>
    <w:rsid w:val="00587016"/>
    <w:rsid w:val="0058763B"/>
    <w:rsid w:val="00587870"/>
    <w:rsid w:val="00591396"/>
    <w:rsid w:val="00592609"/>
    <w:rsid w:val="00592EAE"/>
    <w:rsid w:val="0059649A"/>
    <w:rsid w:val="005A25D1"/>
    <w:rsid w:val="005A3037"/>
    <w:rsid w:val="005A544F"/>
    <w:rsid w:val="005B2323"/>
    <w:rsid w:val="005C07C3"/>
    <w:rsid w:val="005C1AD6"/>
    <w:rsid w:val="005C2A71"/>
    <w:rsid w:val="005C4531"/>
    <w:rsid w:val="005D21D9"/>
    <w:rsid w:val="005D25AB"/>
    <w:rsid w:val="005D2AC7"/>
    <w:rsid w:val="005D3515"/>
    <w:rsid w:val="005D4508"/>
    <w:rsid w:val="005D5368"/>
    <w:rsid w:val="005D5C7E"/>
    <w:rsid w:val="005D639E"/>
    <w:rsid w:val="005E23F1"/>
    <w:rsid w:val="005E725B"/>
    <w:rsid w:val="005E7D91"/>
    <w:rsid w:val="005F107A"/>
    <w:rsid w:val="005F2ACA"/>
    <w:rsid w:val="005F4322"/>
    <w:rsid w:val="005F6512"/>
    <w:rsid w:val="005F6C43"/>
    <w:rsid w:val="005F75BD"/>
    <w:rsid w:val="006041EA"/>
    <w:rsid w:val="00606AD2"/>
    <w:rsid w:val="00612B1E"/>
    <w:rsid w:val="00615256"/>
    <w:rsid w:val="006164C4"/>
    <w:rsid w:val="00616D96"/>
    <w:rsid w:val="0062045D"/>
    <w:rsid w:val="00620F79"/>
    <w:rsid w:val="0062531D"/>
    <w:rsid w:val="00625433"/>
    <w:rsid w:val="00627C03"/>
    <w:rsid w:val="006305AB"/>
    <w:rsid w:val="00630F1F"/>
    <w:rsid w:val="00631EBE"/>
    <w:rsid w:val="006320F8"/>
    <w:rsid w:val="00635B50"/>
    <w:rsid w:val="0063659A"/>
    <w:rsid w:val="00641270"/>
    <w:rsid w:val="006460C6"/>
    <w:rsid w:val="00647740"/>
    <w:rsid w:val="006524BF"/>
    <w:rsid w:val="00653972"/>
    <w:rsid w:val="0065428E"/>
    <w:rsid w:val="00654C2B"/>
    <w:rsid w:val="00661742"/>
    <w:rsid w:val="006634DA"/>
    <w:rsid w:val="006648CE"/>
    <w:rsid w:val="00665E4C"/>
    <w:rsid w:val="0066602C"/>
    <w:rsid w:val="0066658A"/>
    <w:rsid w:val="00673C07"/>
    <w:rsid w:val="00676550"/>
    <w:rsid w:val="00680281"/>
    <w:rsid w:val="0068283B"/>
    <w:rsid w:val="006848B3"/>
    <w:rsid w:val="0068500F"/>
    <w:rsid w:val="00685E5E"/>
    <w:rsid w:val="00686139"/>
    <w:rsid w:val="0068661A"/>
    <w:rsid w:val="00686EF7"/>
    <w:rsid w:val="006876AB"/>
    <w:rsid w:val="00691049"/>
    <w:rsid w:val="00691263"/>
    <w:rsid w:val="00691935"/>
    <w:rsid w:val="006926C1"/>
    <w:rsid w:val="006A026B"/>
    <w:rsid w:val="006A12E0"/>
    <w:rsid w:val="006A31E9"/>
    <w:rsid w:val="006A7219"/>
    <w:rsid w:val="006A7A1D"/>
    <w:rsid w:val="006A7BBD"/>
    <w:rsid w:val="006B629E"/>
    <w:rsid w:val="006B7D96"/>
    <w:rsid w:val="006B7EDD"/>
    <w:rsid w:val="006C1444"/>
    <w:rsid w:val="006C3450"/>
    <w:rsid w:val="006C4722"/>
    <w:rsid w:val="006C5917"/>
    <w:rsid w:val="006C6E02"/>
    <w:rsid w:val="006D2A4E"/>
    <w:rsid w:val="006E067A"/>
    <w:rsid w:val="006E69C4"/>
    <w:rsid w:val="006E7462"/>
    <w:rsid w:val="006F0264"/>
    <w:rsid w:val="006F0F57"/>
    <w:rsid w:val="006F6DC4"/>
    <w:rsid w:val="006F7BFA"/>
    <w:rsid w:val="00703EB2"/>
    <w:rsid w:val="00705D55"/>
    <w:rsid w:val="00705D6B"/>
    <w:rsid w:val="00706D6D"/>
    <w:rsid w:val="007101C9"/>
    <w:rsid w:val="007101E4"/>
    <w:rsid w:val="007109C4"/>
    <w:rsid w:val="00710D2E"/>
    <w:rsid w:val="007116E5"/>
    <w:rsid w:val="00720883"/>
    <w:rsid w:val="00721384"/>
    <w:rsid w:val="0072256D"/>
    <w:rsid w:val="00730FD0"/>
    <w:rsid w:val="0073211C"/>
    <w:rsid w:val="00732392"/>
    <w:rsid w:val="00735B65"/>
    <w:rsid w:val="00736161"/>
    <w:rsid w:val="00737B7F"/>
    <w:rsid w:val="00740F5A"/>
    <w:rsid w:val="00741C36"/>
    <w:rsid w:val="00742182"/>
    <w:rsid w:val="00742557"/>
    <w:rsid w:val="00742B32"/>
    <w:rsid w:val="00743193"/>
    <w:rsid w:val="00743B0C"/>
    <w:rsid w:val="0074656B"/>
    <w:rsid w:val="00746FD5"/>
    <w:rsid w:val="007502E2"/>
    <w:rsid w:val="007524BB"/>
    <w:rsid w:val="007540CB"/>
    <w:rsid w:val="00754479"/>
    <w:rsid w:val="00754DD0"/>
    <w:rsid w:val="00756774"/>
    <w:rsid w:val="007632C9"/>
    <w:rsid w:val="007647E9"/>
    <w:rsid w:val="00764B00"/>
    <w:rsid w:val="00765A66"/>
    <w:rsid w:val="0076669C"/>
    <w:rsid w:val="00770EEC"/>
    <w:rsid w:val="007726BF"/>
    <w:rsid w:val="00776ABC"/>
    <w:rsid w:val="0077738C"/>
    <w:rsid w:val="0078008C"/>
    <w:rsid w:val="0078392C"/>
    <w:rsid w:val="007851A6"/>
    <w:rsid w:val="007857EA"/>
    <w:rsid w:val="007874B7"/>
    <w:rsid w:val="00790BD6"/>
    <w:rsid w:val="007910D8"/>
    <w:rsid w:val="00792C1A"/>
    <w:rsid w:val="00797193"/>
    <w:rsid w:val="007A06EC"/>
    <w:rsid w:val="007A07D7"/>
    <w:rsid w:val="007A08F9"/>
    <w:rsid w:val="007A1052"/>
    <w:rsid w:val="007A419A"/>
    <w:rsid w:val="007A693D"/>
    <w:rsid w:val="007B31C4"/>
    <w:rsid w:val="007B7238"/>
    <w:rsid w:val="007C0139"/>
    <w:rsid w:val="007C2D79"/>
    <w:rsid w:val="007C390A"/>
    <w:rsid w:val="007C3C9E"/>
    <w:rsid w:val="007C5C5E"/>
    <w:rsid w:val="007D064B"/>
    <w:rsid w:val="007D5E78"/>
    <w:rsid w:val="007D6025"/>
    <w:rsid w:val="007D6A4C"/>
    <w:rsid w:val="007E3279"/>
    <w:rsid w:val="007F032C"/>
    <w:rsid w:val="007F1D92"/>
    <w:rsid w:val="007F796A"/>
    <w:rsid w:val="008004A3"/>
    <w:rsid w:val="008018F8"/>
    <w:rsid w:val="008049CD"/>
    <w:rsid w:val="0081215E"/>
    <w:rsid w:val="008138F0"/>
    <w:rsid w:val="00820B01"/>
    <w:rsid w:val="008215DD"/>
    <w:rsid w:val="008249F6"/>
    <w:rsid w:val="00830697"/>
    <w:rsid w:val="00830ED8"/>
    <w:rsid w:val="008322C5"/>
    <w:rsid w:val="00834DEF"/>
    <w:rsid w:val="008379CF"/>
    <w:rsid w:val="00841A5C"/>
    <w:rsid w:val="0084311C"/>
    <w:rsid w:val="008436EF"/>
    <w:rsid w:val="00850EFA"/>
    <w:rsid w:val="008630C5"/>
    <w:rsid w:val="00866FA6"/>
    <w:rsid w:val="00870C2B"/>
    <w:rsid w:val="00872E3D"/>
    <w:rsid w:val="00877153"/>
    <w:rsid w:val="00880329"/>
    <w:rsid w:val="0088286B"/>
    <w:rsid w:val="0088721F"/>
    <w:rsid w:val="00890381"/>
    <w:rsid w:val="00890965"/>
    <w:rsid w:val="00896C76"/>
    <w:rsid w:val="008A2BF7"/>
    <w:rsid w:val="008A354F"/>
    <w:rsid w:val="008A5D6B"/>
    <w:rsid w:val="008A66C6"/>
    <w:rsid w:val="008A7827"/>
    <w:rsid w:val="008A7CE5"/>
    <w:rsid w:val="008B21D5"/>
    <w:rsid w:val="008B2619"/>
    <w:rsid w:val="008B49E0"/>
    <w:rsid w:val="008C1069"/>
    <w:rsid w:val="008C1A1D"/>
    <w:rsid w:val="008C20AE"/>
    <w:rsid w:val="008C2848"/>
    <w:rsid w:val="008C53B4"/>
    <w:rsid w:val="008C5CE1"/>
    <w:rsid w:val="008C5F9A"/>
    <w:rsid w:val="008C64E2"/>
    <w:rsid w:val="008C6B84"/>
    <w:rsid w:val="008D1A46"/>
    <w:rsid w:val="008D1C0F"/>
    <w:rsid w:val="008D618C"/>
    <w:rsid w:val="008D6B6B"/>
    <w:rsid w:val="008E0664"/>
    <w:rsid w:val="008E317C"/>
    <w:rsid w:val="008E3464"/>
    <w:rsid w:val="008E7193"/>
    <w:rsid w:val="008E792D"/>
    <w:rsid w:val="008F5229"/>
    <w:rsid w:val="008F61C8"/>
    <w:rsid w:val="00900AD2"/>
    <w:rsid w:val="00900E90"/>
    <w:rsid w:val="0090143D"/>
    <w:rsid w:val="0090615F"/>
    <w:rsid w:val="00906A1B"/>
    <w:rsid w:val="00912887"/>
    <w:rsid w:val="00915ADF"/>
    <w:rsid w:val="00916572"/>
    <w:rsid w:val="00917084"/>
    <w:rsid w:val="009310D5"/>
    <w:rsid w:val="00934D65"/>
    <w:rsid w:val="00936FE0"/>
    <w:rsid w:val="009379DE"/>
    <w:rsid w:val="00937A6B"/>
    <w:rsid w:val="00942813"/>
    <w:rsid w:val="00942CBC"/>
    <w:rsid w:val="0094492C"/>
    <w:rsid w:val="009457BF"/>
    <w:rsid w:val="00952CDE"/>
    <w:rsid w:val="00954976"/>
    <w:rsid w:val="00955CFE"/>
    <w:rsid w:val="00963F0F"/>
    <w:rsid w:val="009717AD"/>
    <w:rsid w:val="0097583C"/>
    <w:rsid w:val="0097620A"/>
    <w:rsid w:val="009766DF"/>
    <w:rsid w:val="00981591"/>
    <w:rsid w:val="00983A0C"/>
    <w:rsid w:val="009858E2"/>
    <w:rsid w:val="00985F36"/>
    <w:rsid w:val="00993916"/>
    <w:rsid w:val="00993C48"/>
    <w:rsid w:val="009970FF"/>
    <w:rsid w:val="009A232B"/>
    <w:rsid w:val="009A254A"/>
    <w:rsid w:val="009A2584"/>
    <w:rsid w:val="009A284A"/>
    <w:rsid w:val="009A30A1"/>
    <w:rsid w:val="009A38A9"/>
    <w:rsid w:val="009A4CB6"/>
    <w:rsid w:val="009A569B"/>
    <w:rsid w:val="009B0AB3"/>
    <w:rsid w:val="009B0AFB"/>
    <w:rsid w:val="009B2ACB"/>
    <w:rsid w:val="009B530D"/>
    <w:rsid w:val="009C1CFA"/>
    <w:rsid w:val="009C32BD"/>
    <w:rsid w:val="009D2BD7"/>
    <w:rsid w:val="009D708E"/>
    <w:rsid w:val="009E0CFC"/>
    <w:rsid w:val="009F47C6"/>
    <w:rsid w:val="009F50BD"/>
    <w:rsid w:val="009F57BC"/>
    <w:rsid w:val="009F7577"/>
    <w:rsid w:val="00A00DA4"/>
    <w:rsid w:val="00A049C9"/>
    <w:rsid w:val="00A070B6"/>
    <w:rsid w:val="00A071D7"/>
    <w:rsid w:val="00A1150D"/>
    <w:rsid w:val="00A141E4"/>
    <w:rsid w:val="00A145B8"/>
    <w:rsid w:val="00A15266"/>
    <w:rsid w:val="00A15328"/>
    <w:rsid w:val="00A157C4"/>
    <w:rsid w:val="00A158C6"/>
    <w:rsid w:val="00A22D94"/>
    <w:rsid w:val="00A300E0"/>
    <w:rsid w:val="00A329B5"/>
    <w:rsid w:val="00A32E0D"/>
    <w:rsid w:val="00A34BDD"/>
    <w:rsid w:val="00A35856"/>
    <w:rsid w:val="00A37ADC"/>
    <w:rsid w:val="00A37FAA"/>
    <w:rsid w:val="00A46A99"/>
    <w:rsid w:val="00A51669"/>
    <w:rsid w:val="00A544DA"/>
    <w:rsid w:val="00A55F36"/>
    <w:rsid w:val="00A6245C"/>
    <w:rsid w:val="00A62D9E"/>
    <w:rsid w:val="00A66CDD"/>
    <w:rsid w:val="00A67640"/>
    <w:rsid w:val="00A719DB"/>
    <w:rsid w:val="00A71D30"/>
    <w:rsid w:val="00A71F3D"/>
    <w:rsid w:val="00A73CD0"/>
    <w:rsid w:val="00A7561E"/>
    <w:rsid w:val="00A75693"/>
    <w:rsid w:val="00A80323"/>
    <w:rsid w:val="00A80395"/>
    <w:rsid w:val="00A823B3"/>
    <w:rsid w:val="00A833B6"/>
    <w:rsid w:val="00AA3D23"/>
    <w:rsid w:val="00AA6262"/>
    <w:rsid w:val="00AB2887"/>
    <w:rsid w:val="00AB6637"/>
    <w:rsid w:val="00AC5155"/>
    <w:rsid w:val="00AC52F3"/>
    <w:rsid w:val="00AC6623"/>
    <w:rsid w:val="00AD17F1"/>
    <w:rsid w:val="00AD2D5A"/>
    <w:rsid w:val="00AD5459"/>
    <w:rsid w:val="00AD5ABA"/>
    <w:rsid w:val="00AD5D74"/>
    <w:rsid w:val="00AD7A64"/>
    <w:rsid w:val="00AE0D13"/>
    <w:rsid w:val="00AE13A2"/>
    <w:rsid w:val="00AE22F4"/>
    <w:rsid w:val="00AE429F"/>
    <w:rsid w:val="00AE5D94"/>
    <w:rsid w:val="00AF1F47"/>
    <w:rsid w:val="00AF2CFC"/>
    <w:rsid w:val="00B00370"/>
    <w:rsid w:val="00B008A9"/>
    <w:rsid w:val="00B01C6A"/>
    <w:rsid w:val="00B02197"/>
    <w:rsid w:val="00B04B8E"/>
    <w:rsid w:val="00B05E0F"/>
    <w:rsid w:val="00B062E3"/>
    <w:rsid w:val="00B069BA"/>
    <w:rsid w:val="00B07B5C"/>
    <w:rsid w:val="00B100C3"/>
    <w:rsid w:val="00B1024F"/>
    <w:rsid w:val="00B11135"/>
    <w:rsid w:val="00B15D0E"/>
    <w:rsid w:val="00B244B7"/>
    <w:rsid w:val="00B24B62"/>
    <w:rsid w:val="00B2692F"/>
    <w:rsid w:val="00B27D20"/>
    <w:rsid w:val="00B318E5"/>
    <w:rsid w:val="00B32D9B"/>
    <w:rsid w:val="00B333E1"/>
    <w:rsid w:val="00B34F3E"/>
    <w:rsid w:val="00B3542B"/>
    <w:rsid w:val="00B368C7"/>
    <w:rsid w:val="00B36E77"/>
    <w:rsid w:val="00B42783"/>
    <w:rsid w:val="00B444DE"/>
    <w:rsid w:val="00B44EA6"/>
    <w:rsid w:val="00B44F12"/>
    <w:rsid w:val="00B461A1"/>
    <w:rsid w:val="00B507F1"/>
    <w:rsid w:val="00B50C8B"/>
    <w:rsid w:val="00B52B03"/>
    <w:rsid w:val="00B549CA"/>
    <w:rsid w:val="00B60898"/>
    <w:rsid w:val="00B61C1B"/>
    <w:rsid w:val="00B64005"/>
    <w:rsid w:val="00B642FB"/>
    <w:rsid w:val="00B66B8D"/>
    <w:rsid w:val="00B66C30"/>
    <w:rsid w:val="00B671A7"/>
    <w:rsid w:val="00B7349F"/>
    <w:rsid w:val="00B75C56"/>
    <w:rsid w:val="00B763E1"/>
    <w:rsid w:val="00B8104D"/>
    <w:rsid w:val="00B82B73"/>
    <w:rsid w:val="00B83DEB"/>
    <w:rsid w:val="00B8430D"/>
    <w:rsid w:val="00B85DC5"/>
    <w:rsid w:val="00B85FAD"/>
    <w:rsid w:val="00B874C7"/>
    <w:rsid w:val="00B94025"/>
    <w:rsid w:val="00B96C5F"/>
    <w:rsid w:val="00B97581"/>
    <w:rsid w:val="00B976BF"/>
    <w:rsid w:val="00B97CDF"/>
    <w:rsid w:val="00BA5689"/>
    <w:rsid w:val="00BA7333"/>
    <w:rsid w:val="00BA74E1"/>
    <w:rsid w:val="00BB0AC4"/>
    <w:rsid w:val="00BB2E53"/>
    <w:rsid w:val="00BB41C7"/>
    <w:rsid w:val="00BB6182"/>
    <w:rsid w:val="00BB79AA"/>
    <w:rsid w:val="00BC0DED"/>
    <w:rsid w:val="00BC1647"/>
    <w:rsid w:val="00BC2E04"/>
    <w:rsid w:val="00BC61E6"/>
    <w:rsid w:val="00BC7453"/>
    <w:rsid w:val="00BD1FAC"/>
    <w:rsid w:val="00BD34CC"/>
    <w:rsid w:val="00BD6994"/>
    <w:rsid w:val="00BE0355"/>
    <w:rsid w:val="00BE150C"/>
    <w:rsid w:val="00BE2F47"/>
    <w:rsid w:val="00BE3331"/>
    <w:rsid w:val="00BE464C"/>
    <w:rsid w:val="00BE6941"/>
    <w:rsid w:val="00BE6EAE"/>
    <w:rsid w:val="00BE7822"/>
    <w:rsid w:val="00BF3FAB"/>
    <w:rsid w:val="00BF4566"/>
    <w:rsid w:val="00BF5A08"/>
    <w:rsid w:val="00BF742C"/>
    <w:rsid w:val="00C0064A"/>
    <w:rsid w:val="00C01BD0"/>
    <w:rsid w:val="00C051B6"/>
    <w:rsid w:val="00C121C6"/>
    <w:rsid w:val="00C202E8"/>
    <w:rsid w:val="00C24335"/>
    <w:rsid w:val="00C265DA"/>
    <w:rsid w:val="00C265F8"/>
    <w:rsid w:val="00C4158F"/>
    <w:rsid w:val="00C41936"/>
    <w:rsid w:val="00C419DC"/>
    <w:rsid w:val="00C43828"/>
    <w:rsid w:val="00C43B23"/>
    <w:rsid w:val="00C44D8C"/>
    <w:rsid w:val="00C45CCC"/>
    <w:rsid w:val="00C461B0"/>
    <w:rsid w:val="00C46EA3"/>
    <w:rsid w:val="00C46FEE"/>
    <w:rsid w:val="00C47E5F"/>
    <w:rsid w:val="00C508A9"/>
    <w:rsid w:val="00C5285B"/>
    <w:rsid w:val="00C546AF"/>
    <w:rsid w:val="00C61AAE"/>
    <w:rsid w:val="00C622CC"/>
    <w:rsid w:val="00C66622"/>
    <w:rsid w:val="00C707EB"/>
    <w:rsid w:val="00C72512"/>
    <w:rsid w:val="00C726EC"/>
    <w:rsid w:val="00C7276F"/>
    <w:rsid w:val="00C74959"/>
    <w:rsid w:val="00C75B97"/>
    <w:rsid w:val="00C76B18"/>
    <w:rsid w:val="00C77951"/>
    <w:rsid w:val="00C8289E"/>
    <w:rsid w:val="00C82E43"/>
    <w:rsid w:val="00C86207"/>
    <w:rsid w:val="00C92C36"/>
    <w:rsid w:val="00C94256"/>
    <w:rsid w:val="00C95E6F"/>
    <w:rsid w:val="00CB0160"/>
    <w:rsid w:val="00CB0B3B"/>
    <w:rsid w:val="00CB1AED"/>
    <w:rsid w:val="00CB2783"/>
    <w:rsid w:val="00CB31E8"/>
    <w:rsid w:val="00CB3991"/>
    <w:rsid w:val="00CB6245"/>
    <w:rsid w:val="00CC34A8"/>
    <w:rsid w:val="00CC3CDA"/>
    <w:rsid w:val="00CC55E4"/>
    <w:rsid w:val="00CD0DA0"/>
    <w:rsid w:val="00CD2C00"/>
    <w:rsid w:val="00CD6431"/>
    <w:rsid w:val="00CE1743"/>
    <w:rsid w:val="00CE41D7"/>
    <w:rsid w:val="00CE5E1E"/>
    <w:rsid w:val="00CE6A27"/>
    <w:rsid w:val="00CF265E"/>
    <w:rsid w:val="00CF2D98"/>
    <w:rsid w:val="00CF4D40"/>
    <w:rsid w:val="00CF4E5A"/>
    <w:rsid w:val="00D0202C"/>
    <w:rsid w:val="00D045C2"/>
    <w:rsid w:val="00D112FF"/>
    <w:rsid w:val="00D20A33"/>
    <w:rsid w:val="00D20E03"/>
    <w:rsid w:val="00D2177A"/>
    <w:rsid w:val="00D22565"/>
    <w:rsid w:val="00D23B72"/>
    <w:rsid w:val="00D37EF1"/>
    <w:rsid w:val="00D45579"/>
    <w:rsid w:val="00D47696"/>
    <w:rsid w:val="00D51AF8"/>
    <w:rsid w:val="00D5267F"/>
    <w:rsid w:val="00D53E38"/>
    <w:rsid w:val="00D5412D"/>
    <w:rsid w:val="00D572B8"/>
    <w:rsid w:val="00D576FE"/>
    <w:rsid w:val="00D6228C"/>
    <w:rsid w:val="00D63F41"/>
    <w:rsid w:val="00D67E0B"/>
    <w:rsid w:val="00D70234"/>
    <w:rsid w:val="00D73A42"/>
    <w:rsid w:val="00D751CB"/>
    <w:rsid w:val="00D80B85"/>
    <w:rsid w:val="00D82386"/>
    <w:rsid w:val="00D8631D"/>
    <w:rsid w:val="00D874FC"/>
    <w:rsid w:val="00D87BB1"/>
    <w:rsid w:val="00D87DC5"/>
    <w:rsid w:val="00D92FDA"/>
    <w:rsid w:val="00D93C4C"/>
    <w:rsid w:val="00D96109"/>
    <w:rsid w:val="00DA0997"/>
    <w:rsid w:val="00DA3438"/>
    <w:rsid w:val="00DA35A3"/>
    <w:rsid w:val="00DA4919"/>
    <w:rsid w:val="00DA6057"/>
    <w:rsid w:val="00DA673A"/>
    <w:rsid w:val="00DA6806"/>
    <w:rsid w:val="00DA6AA0"/>
    <w:rsid w:val="00DB124E"/>
    <w:rsid w:val="00DB3F19"/>
    <w:rsid w:val="00DB679E"/>
    <w:rsid w:val="00DC03B9"/>
    <w:rsid w:val="00DC4362"/>
    <w:rsid w:val="00DC58EC"/>
    <w:rsid w:val="00DC6786"/>
    <w:rsid w:val="00DD029D"/>
    <w:rsid w:val="00DD13BE"/>
    <w:rsid w:val="00DE0ACD"/>
    <w:rsid w:val="00DE1F0C"/>
    <w:rsid w:val="00DE4CF7"/>
    <w:rsid w:val="00DE4F4A"/>
    <w:rsid w:val="00DE5DB3"/>
    <w:rsid w:val="00DE65BA"/>
    <w:rsid w:val="00DE7F55"/>
    <w:rsid w:val="00DF0C37"/>
    <w:rsid w:val="00DF4E7F"/>
    <w:rsid w:val="00DF4EE7"/>
    <w:rsid w:val="00DF598C"/>
    <w:rsid w:val="00DF60DB"/>
    <w:rsid w:val="00E01A4B"/>
    <w:rsid w:val="00E01FE3"/>
    <w:rsid w:val="00E04645"/>
    <w:rsid w:val="00E04C4D"/>
    <w:rsid w:val="00E0646F"/>
    <w:rsid w:val="00E121D3"/>
    <w:rsid w:val="00E142F4"/>
    <w:rsid w:val="00E1440A"/>
    <w:rsid w:val="00E15451"/>
    <w:rsid w:val="00E20C22"/>
    <w:rsid w:val="00E23B7C"/>
    <w:rsid w:val="00E27183"/>
    <w:rsid w:val="00E32E71"/>
    <w:rsid w:val="00E357DC"/>
    <w:rsid w:val="00E35861"/>
    <w:rsid w:val="00E43C28"/>
    <w:rsid w:val="00E43F68"/>
    <w:rsid w:val="00E44255"/>
    <w:rsid w:val="00E45A6C"/>
    <w:rsid w:val="00E47F15"/>
    <w:rsid w:val="00E50DD3"/>
    <w:rsid w:val="00E51529"/>
    <w:rsid w:val="00E52BAC"/>
    <w:rsid w:val="00E54BCE"/>
    <w:rsid w:val="00E55415"/>
    <w:rsid w:val="00E569E3"/>
    <w:rsid w:val="00E57080"/>
    <w:rsid w:val="00E57930"/>
    <w:rsid w:val="00E623AF"/>
    <w:rsid w:val="00E674BD"/>
    <w:rsid w:val="00E7208F"/>
    <w:rsid w:val="00E72FE0"/>
    <w:rsid w:val="00E75528"/>
    <w:rsid w:val="00E774E3"/>
    <w:rsid w:val="00E77CE2"/>
    <w:rsid w:val="00E81012"/>
    <w:rsid w:val="00E820E6"/>
    <w:rsid w:val="00E82F65"/>
    <w:rsid w:val="00E83FB4"/>
    <w:rsid w:val="00E85313"/>
    <w:rsid w:val="00E86305"/>
    <w:rsid w:val="00E924F6"/>
    <w:rsid w:val="00E931DA"/>
    <w:rsid w:val="00E9489B"/>
    <w:rsid w:val="00E94BE7"/>
    <w:rsid w:val="00E96425"/>
    <w:rsid w:val="00E9668C"/>
    <w:rsid w:val="00EA4720"/>
    <w:rsid w:val="00EA5358"/>
    <w:rsid w:val="00EA638C"/>
    <w:rsid w:val="00EB7F87"/>
    <w:rsid w:val="00EC4CA6"/>
    <w:rsid w:val="00EC4D68"/>
    <w:rsid w:val="00EC4F74"/>
    <w:rsid w:val="00EC5D49"/>
    <w:rsid w:val="00EC6075"/>
    <w:rsid w:val="00EC62C7"/>
    <w:rsid w:val="00EC64DF"/>
    <w:rsid w:val="00EC66EC"/>
    <w:rsid w:val="00EC6BE6"/>
    <w:rsid w:val="00EC6D01"/>
    <w:rsid w:val="00ED2322"/>
    <w:rsid w:val="00ED2660"/>
    <w:rsid w:val="00ED49AC"/>
    <w:rsid w:val="00ED56BA"/>
    <w:rsid w:val="00EE2F7B"/>
    <w:rsid w:val="00EE31CC"/>
    <w:rsid w:val="00EE6597"/>
    <w:rsid w:val="00EE6974"/>
    <w:rsid w:val="00EE7F83"/>
    <w:rsid w:val="00EF19A8"/>
    <w:rsid w:val="00EF1D30"/>
    <w:rsid w:val="00EF28CF"/>
    <w:rsid w:val="00EF7D68"/>
    <w:rsid w:val="00F00C10"/>
    <w:rsid w:val="00F039C8"/>
    <w:rsid w:val="00F04641"/>
    <w:rsid w:val="00F052A1"/>
    <w:rsid w:val="00F056FC"/>
    <w:rsid w:val="00F06193"/>
    <w:rsid w:val="00F07652"/>
    <w:rsid w:val="00F14687"/>
    <w:rsid w:val="00F17241"/>
    <w:rsid w:val="00F2407D"/>
    <w:rsid w:val="00F25EBE"/>
    <w:rsid w:val="00F417C3"/>
    <w:rsid w:val="00F45B78"/>
    <w:rsid w:val="00F46F79"/>
    <w:rsid w:val="00F53215"/>
    <w:rsid w:val="00F545DD"/>
    <w:rsid w:val="00F54D59"/>
    <w:rsid w:val="00F55224"/>
    <w:rsid w:val="00F60EE6"/>
    <w:rsid w:val="00F614C8"/>
    <w:rsid w:val="00F615DA"/>
    <w:rsid w:val="00F622A5"/>
    <w:rsid w:val="00F62609"/>
    <w:rsid w:val="00F631D0"/>
    <w:rsid w:val="00F6582D"/>
    <w:rsid w:val="00F67147"/>
    <w:rsid w:val="00F723B2"/>
    <w:rsid w:val="00F72FB1"/>
    <w:rsid w:val="00F753C2"/>
    <w:rsid w:val="00F77809"/>
    <w:rsid w:val="00F841B8"/>
    <w:rsid w:val="00F85C80"/>
    <w:rsid w:val="00F8614F"/>
    <w:rsid w:val="00F9026C"/>
    <w:rsid w:val="00F93E7B"/>
    <w:rsid w:val="00F953A0"/>
    <w:rsid w:val="00F95C75"/>
    <w:rsid w:val="00F979B7"/>
    <w:rsid w:val="00FA0A03"/>
    <w:rsid w:val="00FA4141"/>
    <w:rsid w:val="00FA4AEC"/>
    <w:rsid w:val="00FB37E9"/>
    <w:rsid w:val="00FC3A96"/>
    <w:rsid w:val="00FD19F1"/>
    <w:rsid w:val="00FE1B81"/>
    <w:rsid w:val="00FE33D9"/>
    <w:rsid w:val="00FE35FB"/>
    <w:rsid w:val="00FE3E95"/>
    <w:rsid w:val="00FE4778"/>
    <w:rsid w:val="00FE7F09"/>
    <w:rsid w:val="00FF1D1D"/>
    <w:rsid w:val="00FF22CB"/>
    <w:rsid w:val="00FF37B2"/>
    <w:rsid w:val="00FF4EEA"/>
    <w:rsid w:val="00FF6D11"/>
    <w:rsid w:val="00FF7A1C"/>
    <w:rsid w:val="08BB245F"/>
    <w:rsid w:val="09653648"/>
    <w:rsid w:val="0F79576A"/>
    <w:rsid w:val="1670055D"/>
    <w:rsid w:val="1EA22D64"/>
    <w:rsid w:val="229414D9"/>
    <w:rsid w:val="22CB0E5D"/>
    <w:rsid w:val="26A6639B"/>
    <w:rsid w:val="277F4438"/>
    <w:rsid w:val="2BEA358A"/>
    <w:rsid w:val="2CC25BEC"/>
    <w:rsid w:val="2CE4003B"/>
    <w:rsid w:val="310F4C6A"/>
    <w:rsid w:val="3A6E6C7A"/>
    <w:rsid w:val="3D7D4A29"/>
    <w:rsid w:val="42864250"/>
    <w:rsid w:val="49175AC2"/>
    <w:rsid w:val="493609F9"/>
    <w:rsid w:val="4B1347D3"/>
    <w:rsid w:val="4F714FF8"/>
    <w:rsid w:val="50D67693"/>
    <w:rsid w:val="5665084A"/>
    <w:rsid w:val="60EC3A9A"/>
    <w:rsid w:val="61BA6CDE"/>
    <w:rsid w:val="65347C0D"/>
    <w:rsid w:val="66C72274"/>
    <w:rsid w:val="6F730668"/>
    <w:rsid w:val="731A13E3"/>
    <w:rsid w:val="76B12BBC"/>
    <w:rsid w:val="77674A89"/>
    <w:rsid w:val="7849745A"/>
    <w:rsid w:val="78497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4"/>
    <w:qFormat/>
    <w:uiPriority w:val="9"/>
    <w:pPr>
      <w:spacing w:before="100" w:beforeAutospacing="1" w:after="100" w:afterAutospacing="1"/>
      <w:jc w:val="left"/>
      <w:outlineLvl w:val="2"/>
    </w:pPr>
    <w:rPr>
      <w:rFonts w:hint="eastAsia" w:ascii="宋体" w:hAnsi="宋体"/>
      <w:b/>
      <w:bCs/>
      <w:kern w:val="0"/>
      <w:sz w:val="27"/>
      <w:szCs w:val="27"/>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20"/>
    <w:rPr>
      <w:i/>
    </w:rPr>
  </w:style>
  <w:style w:type="character" w:customStyle="1" w:styleId="9">
    <w:name w:val="页脚 字符"/>
    <w:link w:val="3"/>
    <w:qFormat/>
    <w:uiPriority w:val="0"/>
    <w:rPr>
      <w:rFonts w:ascii="Calibri" w:hAnsi="Calibri"/>
      <w:kern w:val="2"/>
      <w:sz w:val="18"/>
      <w:szCs w:val="18"/>
    </w:rPr>
  </w:style>
  <w:style w:type="character" w:customStyle="1" w:styleId="10">
    <w:name w:val="页眉 字符"/>
    <w:link w:val="4"/>
    <w:qFormat/>
    <w:uiPriority w:val="0"/>
    <w:rPr>
      <w:rFonts w:ascii="Calibri" w:hAnsi="Calibri"/>
      <w:kern w:val="2"/>
      <w:sz w:val="18"/>
      <w:szCs w:val="18"/>
    </w:rPr>
  </w:style>
  <w:style w:type="table" w:customStyle="1" w:styleId="11">
    <w:name w:val="网格表 1 浅色1"/>
    <w:basedOn w:val="5"/>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12">
    <w:name w:val="网格表 1 浅色 - 着色 31"/>
    <w:basedOn w:val="5"/>
    <w:qFormat/>
    <w:uiPriority w:val="46"/>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13">
    <w:name w:val="List Paragraph"/>
    <w:basedOn w:val="1"/>
    <w:qFormat/>
    <w:uiPriority w:val="99"/>
    <w:pPr>
      <w:ind w:firstLine="420" w:firstLineChars="200"/>
    </w:pPr>
  </w:style>
  <w:style w:type="character" w:customStyle="1" w:styleId="14">
    <w:name w:val="标题 3 字符"/>
    <w:basedOn w:val="7"/>
    <w:link w:val="2"/>
    <w:qFormat/>
    <w:uiPriority w:val="9"/>
    <w:rPr>
      <w:rFonts w:ascii="宋体" w:hAnsi="宋体"/>
      <w:b/>
      <w:bCs/>
      <w:sz w:val="27"/>
      <w:szCs w:val="27"/>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3864</Words>
  <Characters>4018</Characters>
  <Lines>3</Lines>
  <Paragraphs>8</Paragraphs>
  <TotalTime>0</TotalTime>
  <ScaleCrop>false</ScaleCrop>
  <LinksUpToDate>false</LinksUpToDate>
  <CharactersWithSpaces>4035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2022-03-09T01:40:00Z</dcterms:created>
  <dcterms:modified xsi:type="dcterms:W3CDTF">2025-12-23T03:48:57Z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E8D07B2D655045C3943BE1E20F363807</vt:lpwstr>
  </property>
  <property fmtid="{D5CDD505-2E9C-101B-9397-08002B2CF9AE}" pid="4" name="KSOTemplateDocerSaveRecord">
    <vt:lpwstr>eyJoZGlkIjoiOTYyZTAzNjk5NDI1ZDQ2MDE0NmJjNjAzOGEzODZkNDciLCJ1c2VySWQiOiIyNDE1ODc5NTkifQ==</vt:lpwstr>
  </property>
</Properties>
</file>