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0C514">
      <w:pPr>
        <w:spacing w:line="480" w:lineRule="exact"/>
        <w:jc w:val="center"/>
        <w:rPr>
          <w:rFonts w:ascii="宋体" w:hAnsi="宋体" w:eastAsia="宋体" w:cs="Arial"/>
          <w:b/>
          <w:color w:val="1F4E79"/>
          <w:kern w:val="0"/>
          <w:sz w:val="32"/>
          <w:szCs w:val="32"/>
        </w:rPr>
      </w:pPr>
      <w:r>
        <w:rPr>
          <w:rFonts w:hint="eastAsia" w:ascii="宋体" w:hAnsi="宋体" w:eastAsia="宋体" w:cs="Arial"/>
          <w:b/>
          <w:color w:val="1F4E79"/>
          <w:kern w:val="0"/>
          <w:sz w:val="32"/>
          <w:szCs w:val="32"/>
        </w:rPr>
        <w:t>T</w:t>
      </w:r>
      <w:r>
        <w:rPr>
          <w:rFonts w:ascii="宋体" w:hAnsi="宋体" w:eastAsia="宋体" w:cs="Arial"/>
          <w:b/>
          <w:color w:val="1F4E79"/>
          <w:kern w:val="0"/>
          <w:sz w:val="32"/>
          <w:szCs w:val="32"/>
        </w:rPr>
        <w:t>PM</w:t>
      </w:r>
      <w:r>
        <w:rPr>
          <w:rFonts w:hint="eastAsia" w:ascii="宋体" w:hAnsi="宋体" w:eastAsia="宋体" w:cs="Arial"/>
          <w:b/>
          <w:color w:val="1F4E79"/>
          <w:kern w:val="0"/>
          <w:sz w:val="32"/>
          <w:szCs w:val="32"/>
        </w:rPr>
        <w:t>全员设备保养</w:t>
      </w:r>
    </w:p>
    <w:p w14:paraId="0C05A685">
      <w:pPr>
        <w:spacing w:line="480" w:lineRule="exact"/>
        <w:rPr>
          <w:rFonts w:ascii="宋体" w:hAnsi="宋体" w:eastAsia="宋体" w:cs="微软雅黑"/>
          <w:b/>
          <w:color w:val="1F4E79"/>
          <w:sz w:val="24"/>
        </w:rPr>
      </w:pPr>
    </w:p>
    <w:p w14:paraId="679E8228">
      <w:pPr>
        <w:spacing w:line="480" w:lineRule="exact"/>
        <w:rPr>
          <w:rFonts w:hint="eastAsia" w:ascii="宋体" w:hAnsi="宋体" w:eastAsia="宋体" w:cs="微软雅黑"/>
          <w:b/>
          <w:color w:val="1F4E79"/>
          <w:sz w:val="24"/>
          <w:lang w:val="en-US" w:eastAsia="zh-CN"/>
        </w:rPr>
      </w:pPr>
      <w:r>
        <w:rPr>
          <w:rFonts w:hint="eastAsia" w:ascii="宋体" w:hAnsi="宋体" w:eastAsia="宋体" w:cs="微软雅黑"/>
          <w:b/>
          <w:color w:val="1F4E79"/>
          <w:sz w:val="24"/>
        </w:rPr>
        <w:t>课程背景：</w:t>
      </w:r>
      <w:r>
        <w:rPr>
          <w:rFonts w:hint="eastAsia" w:ascii="宋体" w:hAnsi="宋体" w:eastAsia="宋体" w:cs="微软雅黑"/>
          <w:b/>
          <w:color w:val="1F4E79"/>
          <w:sz w:val="24"/>
          <w:lang w:val="en-US" w:eastAsia="zh-CN"/>
        </w:rPr>
        <w:t xml:space="preserve"> </w:t>
      </w:r>
      <w:bookmarkStart w:id="1" w:name="_GoBack"/>
      <w:bookmarkEnd w:id="1"/>
    </w:p>
    <w:p w14:paraId="66C4A9E1">
      <w:pPr>
        <w:spacing w:line="480" w:lineRule="exact"/>
        <w:ind w:firstLine="480" w:firstLineChars="20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操作工缺乏培训，不遵守操作规程，甚至野蛮操作，维修不彻底，同样故障多次重复发生，设备部每天在抢修设备故障，成为救火队，让人防不胜防，不断增加的设备维修时间我们该怎么办？</w:t>
      </w:r>
    </w:p>
    <w:p w14:paraId="356FB510">
      <w:pPr>
        <w:spacing w:line="480" w:lineRule="exact"/>
        <w:ind w:firstLine="480" w:firstLineChars="20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订单越急，设备越是故障频发，作为一名管理者我们该怎么办？、设备部门与生产部门之间为设备异</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而相互推委扯皮现象严重，该如何提高部门之间的协作性？</w:t>
      </w:r>
    </w:p>
    <w:p w14:paraId="0F2B4EDF">
      <w:pPr>
        <w:spacing w:line="480" w:lineRule="exact"/>
        <w:ind w:firstLine="480" w:firstLineChars="20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针对以上企业的苦恼和痛点，企业的经营者该怎么办？几十万、几百万的设备我们是否有正确地维护措施？面对越来越多设备故障，我们是否能彻底得到解决？企业的效率该如何提高？如何让设备保证生产和品质？如何提高整体效率？</w:t>
      </w:r>
    </w:p>
    <w:p w14:paraId="13673530">
      <w:pPr>
        <w:spacing w:line="480" w:lineRule="exact"/>
        <w:ind w:firstLine="480" w:firstLineChars="20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车间经常出现各种设备伤人的安全事故让我们心惊胆战，我们的企业是不是把设备安全隐患都消除了？怎样预防设备的不安全因素？怎样才能消除设备的各种异常停机和故障隐患？</w:t>
      </w:r>
    </w:p>
    <w:p w14:paraId="763FF7CD">
      <w:pPr>
        <w:spacing w:line="480" w:lineRule="exact"/>
        <w:ind w:firstLine="480" w:firstLineChars="20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设备作为制造企业最重要的生产要素和资源，其效率的高低越来越多地影响到生产力、质量、成本、交货期、安全和雇员士气。然而，在一个传统工厂里，许多设备没有进行很好地维护。忽略设备维护会造成千百万元的长期损失，并且在寻找和处理事故中浪费很多时间。</w:t>
      </w:r>
    </w:p>
    <w:p w14:paraId="492FED06">
      <w:pPr>
        <w:spacing w:line="480" w:lineRule="exact"/>
        <w:ind w:firstLine="480" w:firstLineChars="20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设备故障率高，完好率低，检修时间长，设备综合效率</w:t>
      </w:r>
      <w:r>
        <w:rPr>
          <w:rFonts w:ascii="宋体" w:hAnsi="宋体" w:eastAsia="宋体" w:cs="微软雅黑"/>
          <w:bCs/>
          <w:color w:val="000000" w:themeColor="text1"/>
          <w:sz w:val="24"/>
        </w:rPr>
        <w:t>OEE</w:t>
      </w:r>
      <w:r>
        <w:rPr>
          <w:rFonts w:hint="eastAsia" w:ascii="宋体" w:hAnsi="宋体" w:eastAsia="宋体" w:cs="微软雅黑"/>
          <w:bCs/>
          <w:color w:val="000000" w:themeColor="text1"/>
          <w:sz w:val="24"/>
        </w:rPr>
        <w:t>不足</w:t>
      </w:r>
      <w:r>
        <w:rPr>
          <w:rFonts w:ascii="宋体" w:hAnsi="宋体" w:eastAsia="宋体" w:cs="微软雅黑"/>
          <w:bCs/>
          <w:color w:val="000000" w:themeColor="text1"/>
          <w:sz w:val="24"/>
        </w:rPr>
        <w:t>50%</w:t>
      </w:r>
      <w:r>
        <w:rPr>
          <w:rFonts w:hint="eastAsia" w:ascii="宋体" w:hAnsi="宋体" w:eastAsia="宋体" w:cs="微软雅黑"/>
          <w:bCs/>
          <w:color w:val="000000" w:themeColor="text1"/>
          <w:sz w:val="24"/>
        </w:rPr>
        <w:t>，面对不断增长的设备维护成本，不断增加的设备维修时间我们该怎么办？</w:t>
      </w:r>
    </w:p>
    <w:p w14:paraId="2F6ED1E8">
      <w:pPr>
        <w:spacing w:line="480" w:lineRule="exact"/>
        <w:ind w:firstLine="240" w:firstLineChars="10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设备不清扫，不加油，损坏严重，急剧恶化，设备寿命周期短，花高价卖来的先进设备，用几天就闲置在那里，不知该怎么办？</w:t>
      </w:r>
    </w:p>
    <w:p w14:paraId="0E78D782">
      <w:pPr>
        <w:spacing w:line="480" w:lineRule="exact"/>
        <w:ind w:firstLine="480" w:firstLineChars="200"/>
        <w:rPr>
          <w:rFonts w:ascii="宋体" w:hAnsi="宋体" w:eastAsia="宋体" w:cs="微软雅黑"/>
          <w:bCs/>
          <w:color w:val="000000" w:themeColor="text1"/>
          <w:sz w:val="24"/>
        </w:rPr>
      </w:pPr>
      <w:r>
        <w:rPr>
          <w:rFonts w:ascii="宋体" w:hAnsi="宋体" w:eastAsia="宋体" w:cs="微软雅黑"/>
          <w:bCs/>
          <w:color w:val="000000" w:themeColor="text1"/>
          <w:sz w:val="24"/>
        </w:rPr>
        <w:t>TPM</w:t>
      </w:r>
      <w:r>
        <w:rPr>
          <w:rFonts w:hint="eastAsia" w:ascii="宋体" w:hAnsi="宋体" w:eastAsia="宋体" w:cs="微软雅黑"/>
          <w:bCs/>
          <w:color w:val="000000" w:themeColor="text1"/>
          <w:sz w:val="24"/>
        </w:rPr>
        <w:t>是工厂通过全面改善活动，将工厂所有损耗降低为零，挑战四大零化极限目标。</w:t>
      </w:r>
      <w:r>
        <w:rPr>
          <w:rFonts w:ascii="宋体" w:hAnsi="宋体" w:eastAsia="宋体" w:cs="微软雅黑"/>
          <w:bCs/>
          <w:color w:val="000000" w:themeColor="text1"/>
          <w:sz w:val="24"/>
        </w:rPr>
        <w:t>TPM</w:t>
      </w:r>
      <w:r>
        <w:rPr>
          <w:rFonts w:hint="eastAsia" w:ascii="宋体" w:hAnsi="宋体" w:eastAsia="宋体" w:cs="微软雅黑"/>
          <w:bCs/>
          <w:color w:val="000000" w:themeColor="text1"/>
          <w:sz w:val="24"/>
        </w:rPr>
        <w:t>的根本目标就是</w:t>
      </w:r>
      <w:r>
        <w:rPr>
          <w:rFonts w:ascii="宋体" w:hAnsi="宋体" w:eastAsia="宋体" w:cs="微软雅黑"/>
          <w:bCs/>
          <w:color w:val="000000" w:themeColor="text1"/>
          <w:sz w:val="24"/>
        </w:rPr>
        <w:t>“</w:t>
      </w:r>
      <w:r>
        <w:rPr>
          <w:rFonts w:hint="eastAsia" w:ascii="宋体" w:hAnsi="宋体" w:eastAsia="宋体" w:cs="微软雅黑"/>
          <w:bCs/>
          <w:color w:val="000000" w:themeColor="text1"/>
          <w:sz w:val="24"/>
        </w:rPr>
        <w:t>把生产线作业员培养成设备操作能手；把设备人员培养成维修医生；把产品设计和工程技术人员培养成各方面的专家</w:t>
      </w:r>
      <w:r>
        <w:rPr>
          <w:rFonts w:ascii="宋体" w:hAnsi="宋体" w:eastAsia="宋体" w:cs="微软雅黑"/>
          <w:bCs/>
          <w:color w:val="000000" w:themeColor="text1"/>
          <w:sz w:val="24"/>
        </w:rPr>
        <w:t>”</w:t>
      </w:r>
      <w:r>
        <w:rPr>
          <w:rFonts w:hint="eastAsia" w:ascii="宋体" w:hAnsi="宋体" w:eastAsia="宋体" w:cs="微软雅黑"/>
          <w:bCs/>
          <w:color w:val="000000" w:themeColor="text1"/>
          <w:sz w:val="24"/>
        </w:rPr>
        <w:t>。</w:t>
      </w:r>
    </w:p>
    <w:p w14:paraId="652DD13C">
      <w:pPr>
        <w:spacing w:line="480" w:lineRule="exact"/>
        <w:ind w:firstLine="480" w:firstLineChars="20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本课程以</w:t>
      </w:r>
      <w:r>
        <w:rPr>
          <w:rFonts w:ascii="宋体" w:hAnsi="宋体" w:eastAsia="宋体" w:cs="微软雅黑"/>
          <w:bCs/>
          <w:color w:val="000000" w:themeColor="text1"/>
          <w:sz w:val="24"/>
        </w:rPr>
        <w:t>TPM</w:t>
      </w:r>
      <w:r>
        <w:rPr>
          <w:rFonts w:hint="eastAsia" w:ascii="宋体" w:hAnsi="宋体" w:eastAsia="宋体" w:cs="微软雅黑"/>
          <w:bCs/>
          <w:color w:val="000000" w:themeColor="text1"/>
          <w:sz w:val="24"/>
        </w:rPr>
        <w:t>生产设备维护保养为主线</w:t>
      </w:r>
      <w:r>
        <w:rPr>
          <w:rFonts w:ascii="宋体" w:hAnsi="宋体" w:eastAsia="宋体" w:cs="微软雅黑"/>
          <w:bCs/>
          <w:color w:val="000000" w:themeColor="text1"/>
          <w:sz w:val="24"/>
        </w:rPr>
        <w:t>,</w:t>
      </w:r>
      <w:r>
        <w:rPr>
          <w:rFonts w:hint="eastAsia" w:ascii="宋体" w:hAnsi="宋体" w:eastAsia="宋体" w:cs="微软雅黑"/>
          <w:bCs/>
          <w:color w:val="000000" w:themeColor="text1"/>
          <w:sz w:val="24"/>
        </w:rPr>
        <w:t>借鉴日、韩企业优秀设备管理办法和工具，系统阐述了企业如何通过全员参与，持续推进设备管理</w:t>
      </w:r>
      <w:r>
        <w:rPr>
          <w:rFonts w:ascii="宋体" w:hAnsi="宋体" w:eastAsia="宋体" w:cs="微软雅黑"/>
          <w:bCs/>
          <w:color w:val="000000" w:themeColor="text1"/>
          <w:sz w:val="24"/>
        </w:rPr>
        <w:t>TPM</w:t>
      </w:r>
      <w:r>
        <w:rPr>
          <w:rFonts w:hint="eastAsia" w:ascii="宋体" w:hAnsi="宋体" w:eastAsia="宋体" w:cs="微软雅黑"/>
          <w:bCs/>
          <w:color w:val="000000" w:themeColor="text1"/>
          <w:sz w:val="24"/>
        </w:rPr>
        <w:t>全面改善。通过两天的学习，打造成为一个环境洁净亮丽、设备完好无损、管理井然有序的优秀企业工厂现场。</w:t>
      </w:r>
    </w:p>
    <w:p w14:paraId="288C22EA">
      <w:pPr>
        <w:spacing w:line="480" w:lineRule="exact"/>
        <w:rPr>
          <w:rFonts w:ascii="宋体" w:hAnsi="宋体" w:eastAsia="宋体" w:cs="微软雅黑"/>
          <w:bCs/>
          <w:color w:val="000000" w:themeColor="text1"/>
          <w:sz w:val="24"/>
        </w:rPr>
      </w:pPr>
    </w:p>
    <w:p w14:paraId="56428E51">
      <w:pPr>
        <w:pStyle w:val="4"/>
        <w:shd w:val="clear" w:color="auto" w:fill="FFFFFF"/>
        <w:spacing w:before="0" w:beforeAutospacing="0" w:after="0" w:afterAutospacing="0" w:line="480" w:lineRule="exact"/>
        <w:rPr>
          <w:rFonts w:cs="微软雅黑"/>
          <w:b/>
          <w:color w:val="1F4E79"/>
          <w:kern w:val="2"/>
        </w:rPr>
      </w:pPr>
      <w:r>
        <w:rPr>
          <w:rFonts w:hint="eastAsia" w:cs="微软雅黑"/>
          <w:b/>
          <w:color w:val="1F4E79"/>
          <w:kern w:val="2"/>
        </w:rPr>
        <w:t>课程收益：</w:t>
      </w:r>
      <w:r>
        <w:rPr>
          <w:rFonts w:cs="微软雅黑"/>
          <w:b/>
          <w:color w:val="1F4E79"/>
          <w:kern w:val="2"/>
        </w:rPr>
        <w:t xml:space="preserve"> </w:t>
      </w:r>
    </w:p>
    <w:p w14:paraId="79338E81">
      <w:pPr>
        <w:spacing w:line="480" w:lineRule="exact"/>
        <w:rPr>
          <w:rFonts w:ascii="宋体" w:hAnsi="宋体" w:eastAsia="宋体" w:cs="Times New Roman"/>
          <w:kern w:val="0"/>
          <w:sz w:val="24"/>
        </w:rPr>
      </w:pPr>
      <w:r>
        <w:rPr>
          <w:rFonts w:ascii="宋体" w:hAnsi="宋体" w:eastAsia="宋体" w:cs="Arial"/>
          <w:color w:val="333333"/>
          <w:kern w:val="0"/>
          <w:sz w:val="24"/>
          <w:shd w:val="clear" w:color="auto" w:fill="FFFFFF"/>
        </w:rPr>
        <w:t xml:space="preserve">● </w:t>
      </w:r>
      <w:r>
        <w:rPr>
          <w:rFonts w:hint="eastAsia" w:ascii="宋体" w:hAnsi="宋体" w:eastAsia="宋体" w:cs="Arial"/>
          <w:color w:val="333333"/>
          <w:kern w:val="0"/>
          <w:sz w:val="24"/>
          <w:shd w:val="clear" w:color="auto" w:fill="FFFFFF"/>
        </w:rPr>
        <w:t>系统学习</w:t>
      </w:r>
      <w:r>
        <w:rPr>
          <w:rFonts w:ascii="宋体" w:hAnsi="宋体" w:eastAsia="宋体" w:cs="Arial"/>
          <w:color w:val="333333"/>
          <w:kern w:val="0"/>
          <w:sz w:val="24"/>
          <w:shd w:val="clear" w:color="auto" w:fill="FFFFFF"/>
        </w:rPr>
        <w:t>TPM</w:t>
      </w:r>
      <w:r>
        <w:rPr>
          <w:rFonts w:hint="eastAsia" w:ascii="宋体" w:hAnsi="宋体" w:eastAsia="宋体" w:cs="Arial"/>
          <w:color w:val="333333"/>
          <w:kern w:val="0"/>
          <w:sz w:val="24"/>
          <w:shd w:val="clear" w:color="auto" w:fill="FFFFFF"/>
        </w:rPr>
        <w:t>的改善思想、改善机制，掌握改善手法</w:t>
      </w:r>
      <w:r>
        <w:rPr>
          <w:rFonts w:ascii="宋体" w:hAnsi="宋体" w:eastAsia="宋体" w:cs="Arial"/>
          <w:color w:val="333333"/>
          <w:kern w:val="0"/>
          <w:sz w:val="24"/>
          <w:shd w:val="clear" w:color="auto" w:fill="FFFFFF"/>
        </w:rPr>
        <w:cr/>
      </w:r>
      <w:r>
        <w:rPr>
          <w:rFonts w:ascii="宋体" w:hAnsi="宋体" w:eastAsia="宋体" w:cs="Arial"/>
          <w:color w:val="333333"/>
          <w:kern w:val="0"/>
          <w:sz w:val="24"/>
          <w:shd w:val="clear" w:color="auto" w:fill="FFFFFF"/>
        </w:rPr>
        <w:t xml:space="preserve">● </w:t>
      </w:r>
      <w:r>
        <w:rPr>
          <w:rFonts w:hint="eastAsia" w:ascii="宋体" w:hAnsi="宋体" w:eastAsia="宋体" w:cs="Arial"/>
          <w:color w:val="333333"/>
          <w:kern w:val="0"/>
          <w:sz w:val="24"/>
          <w:shd w:val="clear" w:color="auto" w:fill="FFFFFF"/>
        </w:rPr>
        <w:t>通过大量</w:t>
      </w:r>
      <w:r>
        <w:rPr>
          <w:rFonts w:ascii="宋体" w:hAnsi="宋体" w:eastAsia="宋体" w:cs="Arial"/>
          <w:color w:val="333333"/>
          <w:kern w:val="0"/>
          <w:sz w:val="24"/>
          <w:shd w:val="clear" w:color="auto" w:fill="FFFFFF"/>
        </w:rPr>
        <w:t>TPM</w:t>
      </w:r>
      <w:r>
        <w:rPr>
          <w:rFonts w:hint="eastAsia" w:ascii="宋体" w:hAnsi="宋体" w:eastAsia="宋体" w:cs="Arial"/>
          <w:color w:val="333333"/>
          <w:kern w:val="0"/>
          <w:sz w:val="24"/>
          <w:shd w:val="clear" w:color="auto" w:fill="FFFFFF"/>
        </w:rPr>
        <w:t>图片、表格和案例的学习，掌握提升工厂管理水平的方法</w:t>
      </w:r>
      <w:r>
        <w:rPr>
          <w:rFonts w:ascii="宋体" w:hAnsi="宋体" w:eastAsia="宋体" w:cs="Arial"/>
          <w:color w:val="333333"/>
          <w:kern w:val="0"/>
          <w:sz w:val="24"/>
          <w:shd w:val="clear" w:color="auto" w:fill="FFFFFF"/>
        </w:rPr>
        <w:cr/>
      </w:r>
      <w:r>
        <w:rPr>
          <w:rFonts w:ascii="宋体" w:hAnsi="宋体" w:eastAsia="宋体" w:cs="Arial"/>
          <w:color w:val="333333"/>
          <w:kern w:val="0"/>
          <w:sz w:val="24"/>
          <w:shd w:val="clear" w:color="auto" w:fill="FFFFFF"/>
        </w:rPr>
        <w:t xml:space="preserve">● </w:t>
      </w:r>
      <w:r>
        <w:rPr>
          <w:rFonts w:hint="eastAsia" w:ascii="宋体" w:hAnsi="宋体" w:eastAsia="宋体" w:cs="Arial"/>
          <w:color w:val="333333"/>
          <w:kern w:val="0"/>
          <w:sz w:val="24"/>
          <w:shd w:val="clear" w:color="auto" w:fill="FFFFFF"/>
        </w:rPr>
        <w:t>指导学员领悟设备管理的</w:t>
      </w:r>
      <w:r>
        <w:rPr>
          <w:rFonts w:ascii="宋体" w:hAnsi="宋体" w:eastAsia="宋体" w:cs="Arial"/>
          <w:color w:val="333333"/>
          <w:kern w:val="0"/>
          <w:sz w:val="24"/>
          <w:shd w:val="clear" w:color="auto" w:fill="FFFFFF"/>
        </w:rPr>
        <w:t>TPM</w:t>
      </w:r>
      <w:r>
        <w:rPr>
          <w:rFonts w:hint="eastAsia" w:ascii="宋体" w:hAnsi="宋体" w:eastAsia="宋体" w:cs="Arial"/>
          <w:color w:val="333333"/>
          <w:kern w:val="0"/>
          <w:sz w:val="24"/>
          <w:shd w:val="clear" w:color="auto" w:fill="FFFFFF"/>
        </w:rPr>
        <w:t>运动、自主保养、专业保养的基本思路及技巧</w:t>
      </w:r>
      <w:r>
        <w:rPr>
          <w:rFonts w:ascii="宋体" w:hAnsi="宋体" w:eastAsia="宋体" w:cs="Arial"/>
          <w:color w:val="333333"/>
          <w:kern w:val="0"/>
          <w:sz w:val="24"/>
          <w:shd w:val="clear" w:color="auto" w:fill="FFFFFF"/>
        </w:rPr>
        <w:cr/>
      </w:r>
      <w:r>
        <w:rPr>
          <w:rFonts w:ascii="宋体" w:hAnsi="宋体" w:eastAsia="宋体" w:cs="Arial"/>
          <w:color w:val="333333"/>
          <w:kern w:val="0"/>
          <w:sz w:val="24"/>
          <w:shd w:val="clear" w:color="auto" w:fill="FFFFFF"/>
        </w:rPr>
        <w:t xml:space="preserve">● </w:t>
      </w:r>
      <w:r>
        <w:rPr>
          <w:rFonts w:hint="eastAsia" w:ascii="宋体" w:hAnsi="宋体" w:eastAsia="宋体" w:cs="Arial"/>
          <w:color w:val="333333"/>
          <w:kern w:val="0"/>
          <w:sz w:val="24"/>
          <w:shd w:val="clear" w:color="auto" w:fill="FFFFFF"/>
        </w:rPr>
        <w:t>学会劣化复原、设备的维护和保养方法，提高设备的性能</w:t>
      </w:r>
      <w:r>
        <w:rPr>
          <w:rFonts w:ascii="宋体" w:hAnsi="宋体" w:eastAsia="宋体" w:cs="Arial"/>
          <w:color w:val="333333"/>
          <w:kern w:val="0"/>
          <w:sz w:val="24"/>
          <w:shd w:val="clear" w:color="auto" w:fill="FFFFFF"/>
        </w:rPr>
        <w:cr/>
      </w:r>
      <w:r>
        <w:rPr>
          <w:rFonts w:ascii="宋体" w:hAnsi="宋体" w:eastAsia="宋体" w:cs="Arial"/>
          <w:color w:val="333333"/>
          <w:kern w:val="0"/>
          <w:sz w:val="24"/>
          <w:shd w:val="clear" w:color="auto" w:fill="FFFFFF"/>
        </w:rPr>
        <w:t xml:space="preserve">● </w:t>
      </w:r>
      <w:r>
        <w:rPr>
          <w:rFonts w:hint="eastAsia" w:ascii="宋体" w:hAnsi="宋体" w:eastAsia="宋体" w:cs="Arial"/>
          <w:color w:val="333333"/>
          <w:kern w:val="0"/>
          <w:sz w:val="24"/>
          <w:shd w:val="clear" w:color="auto" w:fill="FFFFFF"/>
        </w:rPr>
        <w:t>通过设备改善促进企业目标的实现：零灾害、零故障、零不良、零浪费</w:t>
      </w:r>
      <w:r>
        <w:rPr>
          <w:rFonts w:ascii="宋体" w:hAnsi="宋体" w:eastAsia="宋体" w:cs="Arial"/>
          <w:color w:val="333333"/>
          <w:kern w:val="0"/>
          <w:sz w:val="24"/>
          <w:shd w:val="clear" w:color="auto" w:fill="FFFFFF"/>
        </w:rPr>
        <w:cr/>
      </w:r>
      <w:r>
        <w:rPr>
          <w:rFonts w:ascii="宋体" w:hAnsi="宋体" w:eastAsia="宋体" w:cs="Arial"/>
          <w:color w:val="333333"/>
          <w:kern w:val="0"/>
          <w:sz w:val="24"/>
          <w:shd w:val="clear" w:color="auto" w:fill="FFFFFF"/>
        </w:rPr>
        <w:t xml:space="preserve">● </w:t>
      </w:r>
      <w:r>
        <w:rPr>
          <w:rFonts w:hint="eastAsia" w:ascii="宋体" w:hAnsi="宋体" w:eastAsia="宋体" w:cs="Arial"/>
          <w:color w:val="333333"/>
          <w:kern w:val="0"/>
          <w:sz w:val="24"/>
          <w:shd w:val="clear" w:color="auto" w:fill="FFFFFF"/>
        </w:rPr>
        <w:t>现场演练让学员熟练掌握设备三级保养制的基本内容，</w:t>
      </w:r>
      <w:r>
        <w:rPr>
          <w:rFonts w:ascii="宋体" w:hAnsi="宋体" w:eastAsia="宋体" w:cs="Arial"/>
          <w:color w:val="333333"/>
          <w:kern w:val="0"/>
          <w:sz w:val="24"/>
          <w:shd w:val="clear" w:color="auto" w:fill="FFFFFF"/>
        </w:rPr>
        <w:cr/>
      </w:r>
      <w:r>
        <w:rPr>
          <w:rFonts w:ascii="宋体" w:hAnsi="宋体" w:eastAsia="宋体" w:cs="Arial"/>
          <w:color w:val="333333"/>
          <w:kern w:val="0"/>
          <w:sz w:val="24"/>
          <w:shd w:val="clear" w:color="auto" w:fill="FFFFFF"/>
        </w:rPr>
        <w:t xml:space="preserve">● </w:t>
      </w:r>
      <w:r>
        <w:rPr>
          <w:rFonts w:hint="eastAsia" w:ascii="宋体" w:hAnsi="宋体" w:eastAsia="宋体" w:cs="Arial"/>
          <w:color w:val="333333"/>
          <w:kern w:val="0"/>
          <w:sz w:val="24"/>
          <w:shd w:val="clear" w:color="auto" w:fill="FFFFFF"/>
        </w:rPr>
        <w:t>学员自主系统策划设备管理方案及制定三级保养制度</w:t>
      </w:r>
      <w:r>
        <w:rPr>
          <w:rFonts w:ascii="宋体" w:hAnsi="宋体" w:eastAsia="宋体" w:cs="Arial"/>
          <w:color w:val="333333"/>
          <w:kern w:val="0"/>
          <w:sz w:val="24"/>
          <w:shd w:val="clear" w:color="auto" w:fill="FFFFFF"/>
        </w:rPr>
        <w:cr/>
      </w:r>
      <w:r>
        <w:rPr>
          <w:rFonts w:ascii="宋体" w:hAnsi="宋体" w:eastAsia="宋体" w:cs="Arial"/>
          <w:color w:val="333333"/>
          <w:kern w:val="0"/>
          <w:sz w:val="24"/>
          <w:shd w:val="clear" w:color="auto" w:fill="FFFFFF"/>
        </w:rPr>
        <w:t xml:space="preserve">● </w:t>
      </w:r>
      <w:r>
        <w:rPr>
          <w:rFonts w:hint="eastAsia" w:ascii="宋体" w:hAnsi="宋体" w:eastAsia="宋体" w:cs="Arial"/>
          <w:color w:val="333333"/>
          <w:kern w:val="0"/>
          <w:sz w:val="24"/>
          <w:shd w:val="clear" w:color="auto" w:fill="FFFFFF"/>
        </w:rPr>
        <w:t>通过现场演练设备改善的基本步骤方法</w:t>
      </w:r>
      <w:r>
        <w:rPr>
          <w:rFonts w:ascii="宋体" w:hAnsi="宋体" w:eastAsia="宋体" w:cs="Arial"/>
          <w:color w:val="333333"/>
          <w:kern w:val="0"/>
          <w:sz w:val="24"/>
          <w:shd w:val="clear" w:color="auto" w:fill="FFFFFF"/>
        </w:rPr>
        <w:cr/>
      </w:r>
    </w:p>
    <w:p w14:paraId="74FE195B">
      <w:pPr>
        <w:spacing w:line="480" w:lineRule="exact"/>
        <w:rPr>
          <w:rFonts w:ascii="宋体" w:hAnsi="宋体" w:eastAsia="宋体" w:cs="微软雅黑"/>
          <w:sz w:val="24"/>
        </w:rPr>
      </w:pPr>
      <w:r>
        <w:rPr>
          <w:rFonts w:hint="eastAsia" w:ascii="宋体" w:hAnsi="宋体" w:eastAsia="宋体" w:cs="微软雅黑"/>
          <w:b/>
          <w:color w:val="1F4E79"/>
          <w:sz w:val="24"/>
        </w:rPr>
        <w:t>课程时间：</w:t>
      </w:r>
      <w:r>
        <w:rPr>
          <w:rFonts w:ascii="宋体" w:hAnsi="宋体" w:eastAsia="宋体" w:cs="微软雅黑"/>
          <w:sz w:val="24"/>
        </w:rPr>
        <w:t>2</w:t>
      </w:r>
      <w:r>
        <w:rPr>
          <w:rFonts w:hint="eastAsia" w:ascii="宋体" w:hAnsi="宋体" w:eastAsia="宋体" w:cs="微软雅黑"/>
          <w:sz w:val="24"/>
        </w:rPr>
        <w:t>天，</w:t>
      </w:r>
      <w:r>
        <w:rPr>
          <w:rFonts w:ascii="宋体" w:hAnsi="宋体" w:eastAsia="宋体" w:cs="微软雅黑"/>
          <w:sz w:val="24"/>
        </w:rPr>
        <w:t>6</w:t>
      </w:r>
      <w:r>
        <w:rPr>
          <w:rFonts w:hint="eastAsia" w:ascii="宋体" w:hAnsi="宋体" w:eastAsia="宋体" w:cs="微软雅黑"/>
          <w:bCs/>
          <w:color w:val="000000" w:themeColor="text1"/>
          <w:sz w:val="24"/>
        </w:rPr>
        <w:t>小时/天</w:t>
      </w:r>
    </w:p>
    <w:p w14:paraId="66B7DC48">
      <w:pPr>
        <w:spacing w:line="480" w:lineRule="exact"/>
        <w:rPr>
          <w:rFonts w:ascii="宋体" w:hAnsi="宋体" w:eastAsia="宋体" w:cs="微软雅黑"/>
          <w:bCs/>
          <w:color w:val="000000" w:themeColor="text1"/>
          <w:sz w:val="24"/>
        </w:rPr>
      </w:pPr>
      <w:r>
        <w:rPr>
          <w:rFonts w:hint="eastAsia" w:ascii="宋体" w:hAnsi="宋体" w:eastAsia="宋体" w:cs="微软雅黑"/>
          <w:b/>
          <w:color w:val="1F4E79"/>
          <w:sz w:val="24"/>
        </w:rPr>
        <w:t>课程对象：</w:t>
      </w:r>
      <w:r>
        <w:rPr>
          <w:rFonts w:hint="eastAsia" w:ascii="宋体" w:hAnsi="宋体" w:eastAsia="宋体" w:cs="微软雅黑"/>
          <w:bCs/>
          <w:color w:val="000000" w:themeColor="text1"/>
          <w:sz w:val="24"/>
        </w:rPr>
        <w:t>企业总经理、副总经理、生产部、设备管理部经理</w:t>
      </w:r>
      <w:r>
        <w:rPr>
          <w:rFonts w:ascii="宋体" w:hAnsi="宋体" w:eastAsia="宋体" w:cs="微软雅黑"/>
          <w:bCs/>
          <w:color w:val="000000" w:themeColor="text1"/>
          <w:sz w:val="24"/>
        </w:rPr>
        <w:t>/</w:t>
      </w:r>
      <w:r>
        <w:rPr>
          <w:rFonts w:hint="eastAsia" w:ascii="宋体" w:hAnsi="宋体" w:eastAsia="宋体" w:cs="微软雅黑"/>
          <w:bCs/>
          <w:color w:val="000000" w:themeColor="text1"/>
          <w:sz w:val="24"/>
        </w:rPr>
        <w:t>主管</w:t>
      </w:r>
      <w:r>
        <w:rPr>
          <w:rFonts w:ascii="宋体" w:hAnsi="宋体" w:eastAsia="宋体" w:cs="微软雅黑"/>
          <w:bCs/>
          <w:color w:val="000000" w:themeColor="text1"/>
          <w:sz w:val="24"/>
        </w:rPr>
        <w:t>/</w:t>
      </w:r>
      <w:r>
        <w:rPr>
          <w:rFonts w:hint="eastAsia" w:ascii="宋体" w:hAnsi="宋体" w:eastAsia="宋体" w:cs="微软雅黑"/>
          <w:bCs/>
          <w:color w:val="000000" w:themeColor="text1"/>
          <w:sz w:val="24"/>
        </w:rPr>
        <w:t>工程师</w:t>
      </w:r>
      <w:r>
        <w:rPr>
          <w:rFonts w:ascii="宋体" w:hAnsi="宋体" w:eastAsia="宋体" w:cs="微软雅黑"/>
          <w:bCs/>
          <w:color w:val="000000" w:themeColor="text1"/>
          <w:sz w:val="24"/>
        </w:rPr>
        <w:t>/</w:t>
      </w:r>
      <w:r>
        <w:rPr>
          <w:rFonts w:hint="eastAsia" w:ascii="宋体" w:hAnsi="宋体" w:eastAsia="宋体" w:cs="微软雅黑"/>
          <w:bCs/>
          <w:color w:val="000000" w:themeColor="text1"/>
          <w:sz w:val="24"/>
        </w:rPr>
        <w:t>现场班组长及相关中高阶管理人员以及对全面设备管理推行感兴趣之人士等</w:t>
      </w:r>
    </w:p>
    <w:p w14:paraId="24E505BA">
      <w:pPr>
        <w:spacing w:line="480" w:lineRule="exact"/>
        <w:rPr>
          <w:rFonts w:ascii="宋体" w:hAnsi="宋体" w:eastAsia="宋体" w:cs="微软雅黑"/>
          <w:color w:val="FF0000"/>
          <w:sz w:val="24"/>
        </w:rPr>
      </w:pPr>
      <w:r>
        <w:rPr>
          <w:rFonts w:hint="eastAsia" w:ascii="宋体" w:hAnsi="宋体" w:eastAsia="宋体" w:cs="微软雅黑"/>
          <w:b/>
          <w:color w:val="1F4E79"/>
          <w:sz w:val="24"/>
        </w:rPr>
        <w:t>课程方式：</w:t>
      </w:r>
      <w:r>
        <w:rPr>
          <w:rFonts w:hint="eastAsia" w:ascii="宋体" w:hAnsi="宋体" w:eastAsia="宋体" w:cs="微软雅黑"/>
          <w:bCs/>
          <w:color w:val="000000" w:themeColor="text1"/>
          <w:sz w:val="24"/>
        </w:rPr>
        <w:t>讲</w:t>
      </w:r>
      <w:r>
        <w:rPr>
          <w:rFonts w:ascii="宋体" w:hAnsi="宋体" w:eastAsia="宋体" w:cs="微软雅黑"/>
          <w:bCs/>
          <w:color w:val="000000" w:themeColor="text1"/>
          <w:sz w:val="24"/>
        </w:rPr>
        <w:t>师讲授+案例分析+视频互动+情景模拟+实操演练</w:t>
      </w:r>
    </w:p>
    <w:p w14:paraId="69EEE112">
      <w:pPr>
        <w:spacing w:line="480" w:lineRule="exact"/>
        <w:rPr>
          <w:rFonts w:ascii="宋体" w:hAnsi="宋体" w:eastAsia="宋体" w:cs="微软雅黑"/>
          <w:bCs/>
          <w:color w:val="000000" w:themeColor="text1"/>
          <w:sz w:val="24"/>
        </w:rPr>
      </w:pPr>
    </w:p>
    <w:p w14:paraId="7BA004C9">
      <w:pPr>
        <w:spacing w:line="480" w:lineRule="exact"/>
        <w:jc w:val="center"/>
        <w:rPr>
          <w:rFonts w:ascii="宋体" w:hAnsi="宋体" w:eastAsia="宋体" w:cs="Times New Roman"/>
          <w:b/>
          <w:color w:val="1F4E79"/>
          <w:sz w:val="24"/>
          <w:szCs w:val="22"/>
        </w:rPr>
      </w:pPr>
      <w:r>
        <w:rPr>
          <w:rFonts w:hint="eastAsia" w:ascii="宋体" w:hAnsi="宋体" w:eastAsia="宋体" w:cs="Times New Roman"/>
          <w:b/>
          <w:color w:val="1F4E79"/>
          <w:sz w:val="24"/>
          <w:szCs w:val="22"/>
        </w:rPr>
        <w:t>课程大纲</w:t>
      </w:r>
    </w:p>
    <w:p w14:paraId="3ACB1E12">
      <w:pPr>
        <w:spacing w:line="480" w:lineRule="exact"/>
        <w:rPr>
          <w:rFonts w:ascii="宋体" w:hAnsi="宋体" w:eastAsia="宋体" w:cs="Times New Roman"/>
          <w:sz w:val="24"/>
        </w:rPr>
      </w:pPr>
      <w:r>
        <w:rPr>
          <w:rFonts w:hint="eastAsia" w:ascii="宋体" w:hAnsi="宋体" w:eastAsia="宋体" w:cs="Times New Roman"/>
          <w:b/>
          <w:sz w:val="24"/>
        </w:rPr>
        <w:t>案例视频：</w:t>
      </w:r>
      <w:r>
        <w:rPr>
          <w:rFonts w:hint="eastAsia" w:ascii="宋体" w:hAnsi="宋体" w:eastAsia="宋体" w:cs="Times New Roman"/>
          <w:sz w:val="24"/>
        </w:rPr>
        <w:t>世界级工厂导入T</w:t>
      </w:r>
      <w:r>
        <w:rPr>
          <w:rFonts w:ascii="宋体" w:hAnsi="宋体" w:eastAsia="宋体" w:cs="Times New Roman"/>
          <w:sz w:val="24"/>
        </w:rPr>
        <w:t>PM</w:t>
      </w:r>
      <w:r>
        <w:rPr>
          <w:rFonts w:hint="eastAsia" w:ascii="宋体" w:hAnsi="宋体" w:eastAsia="宋体" w:cs="Times New Roman"/>
          <w:sz w:val="24"/>
        </w:rPr>
        <w:t>；</w:t>
      </w:r>
    </w:p>
    <w:p w14:paraId="423CCE4A">
      <w:pPr>
        <w:spacing w:line="480" w:lineRule="exact"/>
        <w:rPr>
          <w:rFonts w:ascii="宋体" w:hAnsi="宋体" w:eastAsia="宋体" w:cs="Times New Roman"/>
          <w:b/>
          <w:sz w:val="24"/>
        </w:rPr>
      </w:pPr>
      <w:r>
        <w:rPr>
          <w:rFonts w:hint="eastAsia" w:ascii="宋体" w:hAnsi="宋体" w:eastAsia="宋体" w:cs="Times New Roman"/>
          <w:b/>
          <w:sz w:val="24"/>
        </w:rPr>
        <w:t>导入：</w:t>
      </w:r>
      <w:r>
        <w:rPr>
          <w:rFonts w:hint="eastAsia" w:ascii="宋体" w:hAnsi="宋体" w:eastAsia="宋体" w:cs="Times New Roman"/>
          <w:sz w:val="24"/>
        </w:rPr>
        <w:t>为什么要实施设备</w:t>
      </w:r>
      <w:r>
        <w:rPr>
          <w:rFonts w:ascii="宋体" w:hAnsi="宋体" w:eastAsia="宋体" w:cs="Times New Roman"/>
          <w:sz w:val="24"/>
        </w:rPr>
        <w:t>TPM</w:t>
      </w:r>
      <w:r>
        <w:rPr>
          <w:rFonts w:hint="eastAsia" w:ascii="宋体" w:hAnsi="宋体" w:eastAsia="宋体" w:cs="Times New Roman"/>
          <w:sz w:val="24"/>
        </w:rPr>
        <w:t>管理——工欲善其事，必先利其器</w:t>
      </w:r>
    </w:p>
    <w:p w14:paraId="5B725709">
      <w:pPr>
        <w:spacing w:line="480" w:lineRule="exact"/>
        <w:rPr>
          <w:rFonts w:ascii="宋体" w:hAnsi="宋体" w:eastAsia="宋体" w:cs="Times New Roman"/>
          <w:sz w:val="24"/>
        </w:rPr>
      </w:pPr>
      <w:r>
        <w:rPr>
          <w:rFonts w:hint="eastAsia" w:ascii="宋体" w:hAnsi="宋体" w:eastAsia="宋体" w:cs="Times New Roman"/>
          <w:sz w:val="24"/>
        </w:rPr>
        <w:t>——全面认知</w:t>
      </w:r>
      <w:r>
        <w:rPr>
          <w:rFonts w:ascii="宋体" w:hAnsi="宋体" w:eastAsia="宋体" w:cs="Times New Roman"/>
          <w:sz w:val="24"/>
        </w:rPr>
        <w:t>TPM</w:t>
      </w:r>
      <w:r>
        <w:rPr>
          <w:rFonts w:hint="eastAsia" w:ascii="宋体" w:hAnsi="宋体" w:eastAsia="宋体" w:cs="Times New Roman"/>
          <w:sz w:val="24"/>
        </w:rPr>
        <w:t>（全员生产维护）</w:t>
      </w:r>
    </w:p>
    <w:p w14:paraId="6082A8CF">
      <w:pPr>
        <w:spacing w:line="480" w:lineRule="exact"/>
        <w:rPr>
          <w:rFonts w:ascii="宋体" w:hAnsi="宋体" w:eastAsia="宋体" w:cs="Times New Roman"/>
          <w:sz w:val="24"/>
        </w:rPr>
      </w:pPr>
      <w:r>
        <w:rPr>
          <w:rFonts w:hint="eastAsia" w:ascii="宋体" w:hAnsi="宋体" w:eastAsia="宋体" w:cs="Times New Roman"/>
          <w:b/>
          <w:sz w:val="24"/>
        </w:rPr>
        <w:t>案例：</w:t>
      </w:r>
      <w:r>
        <w:rPr>
          <w:rFonts w:hint="eastAsia" w:ascii="宋体" w:hAnsi="宋体" w:eastAsia="宋体" w:cs="Times New Roman"/>
          <w:sz w:val="24"/>
        </w:rPr>
        <w:t>《某企业诊断操作操作》</w:t>
      </w:r>
    </w:p>
    <w:p w14:paraId="72B4DC7C">
      <w:pPr>
        <w:spacing w:line="480" w:lineRule="exact"/>
        <w:rPr>
          <w:rFonts w:ascii="宋体" w:hAnsi="宋体" w:eastAsia="宋体" w:cs="Times New Roman"/>
          <w:sz w:val="24"/>
        </w:rPr>
      </w:pPr>
      <w:r>
        <w:rPr>
          <w:rFonts w:hint="eastAsia" w:ascii="宋体" w:hAnsi="宋体" w:eastAsia="宋体" w:cs="Times New Roman"/>
          <w:b/>
          <w:bCs/>
          <w:sz w:val="24"/>
        </w:rPr>
        <w:t>视频案例：</w:t>
      </w:r>
      <w:r>
        <w:rPr>
          <w:rFonts w:hint="eastAsia" w:ascii="宋体" w:hAnsi="宋体" w:eastAsia="宋体" w:cs="Times New Roman"/>
          <w:sz w:val="24"/>
        </w:rPr>
        <w:t>某著名企业TPM推行</w:t>
      </w:r>
    </w:p>
    <w:p w14:paraId="1FD12A5F">
      <w:pPr>
        <w:spacing w:line="480" w:lineRule="exact"/>
        <w:rPr>
          <w:rFonts w:ascii="宋体" w:hAnsi="宋体" w:eastAsia="宋体" w:cs="Times New Roman"/>
          <w:sz w:val="24"/>
        </w:rPr>
      </w:pPr>
    </w:p>
    <w:p w14:paraId="6589A324">
      <w:pPr>
        <w:spacing w:line="480" w:lineRule="exact"/>
        <w:rPr>
          <w:rFonts w:ascii="宋体" w:hAnsi="宋体" w:eastAsia="宋体" w:cs="微软雅黑"/>
          <w:b/>
          <w:color w:val="1F4E79"/>
          <w:sz w:val="24"/>
        </w:rPr>
      </w:pPr>
      <w:r>
        <w:rPr>
          <w:rFonts w:hint="eastAsia" w:ascii="宋体" w:hAnsi="宋体" w:eastAsia="宋体" w:cs="微软雅黑"/>
          <w:b/>
          <w:color w:val="1F4E79"/>
          <w:sz w:val="24"/>
        </w:rPr>
        <w:t>第一讲：设备目标管理与综合效率改善</w:t>
      </w:r>
    </w:p>
    <w:p w14:paraId="3751817F">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一、设备“0”故障管理和改善</w:t>
      </w:r>
    </w:p>
    <w:p w14:paraId="731FBBD5">
      <w:pPr>
        <w:spacing w:line="480" w:lineRule="exact"/>
        <w:rPr>
          <w:rFonts w:ascii="宋体" w:hAnsi="宋体" w:eastAsia="宋体" w:cs="Times New Roman"/>
          <w:sz w:val="24"/>
        </w:rPr>
      </w:pPr>
      <w:r>
        <w:rPr>
          <w:rFonts w:hint="eastAsia" w:ascii="宋体" w:hAnsi="宋体" w:eastAsia="宋体" w:cs="Times New Roman"/>
          <w:sz w:val="24"/>
        </w:rPr>
        <w:drawing>
          <wp:anchor distT="0" distB="0" distL="114300" distR="114300" simplePos="0" relativeHeight="251660288" behindDoc="0" locked="0" layoutInCell="1" allowOverlap="1">
            <wp:simplePos x="0" y="0"/>
            <wp:positionH relativeFrom="margin">
              <wp:align>right</wp:align>
            </wp:positionH>
            <wp:positionV relativeFrom="paragraph">
              <wp:posOffset>413385</wp:posOffset>
            </wp:positionV>
            <wp:extent cx="2573020" cy="1655445"/>
            <wp:effectExtent l="19050" t="19050" r="17780" b="20955"/>
            <wp:wrapNone/>
            <wp:docPr id="1685796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9698"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73020" cy="1655445"/>
                    </a:xfrm>
                    <a:prstGeom prst="rect">
                      <a:avLst/>
                    </a:prstGeom>
                    <a:ln>
                      <a:solidFill>
                        <a:srgbClr val="FF0000"/>
                      </a:solidFill>
                    </a:ln>
                  </pic:spPr>
                </pic:pic>
              </a:graphicData>
            </a:graphic>
          </wp:anchor>
        </w:drawing>
      </w:r>
      <w:r>
        <w:rPr>
          <w:rFonts w:hint="eastAsia" w:ascii="宋体" w:hAnsi="宋体" w:eastAsia="宋体" w:cs="Times New Roman"/>
          <w:sz w:val="24"/>
        </w:rPr>
        <w:t>1. 减少设备的磨损对策</w:t>
      </w:r>
      <w:r>
        <w:rPr>
          <w:rFonts w:hint="eastAsia" w:ascii="宋体" w:hAnsi="宋体" w:eastAsia="宋体" w:cs="Times New Roman"/>
          <w:sz w:val="24"/>
        </w:rPr>
        <w:cr/>
      </w:r>
      <w:r>
        <w:rPr>
          <w:rFonts w:hint="eastAsia" w:ascii="宋体" w:hAnsi="宋体" w:eastAsia="宋体" w:cs="Times New Roman"/>
          <w:sz w:val="24"/>
        </w:rPr>
        <w:t>2. 设备的三级保养</w:t>
      </w:r>
      <w:r>
        <w:rPr>
          <w:rFonts w:hint="eastAsia" w:ascii="宋体" w:hAnsi="宋体" w:eastAsia="宋体" w:cs="Times New Roman"/>
          <w:sz w:val="24"/>
        </w:rPr>
        <w:cr/>
      </w:r>
      <w:r>
        <w:rPr>
          <w:rFonts w:hint="eastAsia" w:ascii="宋体" w:hAnsi="宋体" w:eastAsia="宋体" w:cs="Times New Roman"/>
          <w:sz w:val="24"/>
        </w:rPr>
        <w:t xml:space="preserve">3. 设备的基础管理内容 </w:t>
      </w:r>
      <w:r>
        <w:rPr>
          <w:rFonts w:hint="eastAsia" w:ascii="宋体" w:hAnsi="宋体" w:eastAsia="宋体" w:cs="Times New Roman"/>
          <w:sz w:val="24"/>
        </w:rPr>
        <w:cr/>
      </w:r>
      <w:r>
        <w:rPr>
          <w:rFonts w:hint="eastAsia" w:ascii="宋体" w:hAnsi="宋体" w:eastAsia="宋体" w:cs="Times New Roman"/>
          <w:sz w:val="24"/>
        </w:rPr>
        <w:t>4. 设备的预防性检查</w:t>
      </w:r>
      <w:r>
        <w:rPr>
          <w:rFonts w:hint="eastAsia" w:ascii="宋体" w:hAnsi="宋体" w:eastAsia="宋体" w:cs="Times New Roman"/>
          <w:sz w:val="24"/>
        </w:rPr>
        <w:cr/>
      </w:r>
      <w:r>
        <w:rPr>
          <w:rFonts w:hint="eastAsia" w:ascii="宋体" w:hAnsi="宋体" w:eastAsia="宋体" w:cs="Times New Roman"/>
          <w:sz w:val="24"/>
        </w:rPr>
        <w:t>5. 设备的评价指标体系</w:t>
      </w:r>
      <w:r>
        <w:rPr>
          <w:rFonts w:hint="eastAsia" w:ascii="宋体" w:hAnsi="宋体" w:eastAsia="宋体" w:cs="Times New Roman"/>
          <w:sz w:val="24"/>
        </w:rPr>
        <w:cr/>
      </w:r>
      <w:r>
        <w:rPr>
          <w:rFonts w:hint="eastAsia" w:ascii="宋体" w:hAnsi="宋体" w:eastAsia="宋体" w:cs="Times New Roman"/>
          <w:sz w:val="24"/>
        </w:rPr>
        <w:t>6. 故障定义和种类分布</w:t>
      </w:r>
      <w:r>
        <w:rPr>
          <w:rFonts w:hint="eastAsia" w:ascii="宋体" w:hAnsi="宋体" w:eastAsia="宋体" w:cs="Times New Roman"/>
          <w:sz w:val="24"/>
        </w:rPr>
        <w:cr/>
      </w:r>
      <w:r>
        <w:rPr>
          <w:rFonts w:hint="eastAsia" w:ascii="宋体" w:hAnsi="宋体" w:eastAsia="宋体" w:cs="Times New Roman"/>
          <w:sz w:val="24"/>
        </w:rPr>
        <w:t>7. 设备微缺陷成长理论</w:t>
      </w:r>
      <w:r>
        <w:rPr>
          <w:rFonts w:hint="eastAsia" w:ascii="宋体" w:hAnsi="宋体" w:eastAsia="宋体" w:cs="Times New Roman"/>
          <w:sz w:val="24"/>
        </w:rPr>
        <w:cr/>
      </w:r>
      <w:r>
        <w:rPr>
          <w:rFonts w:hint="eastAsia" w:ascii="宋体" w:hAnsi="宋体" w:eastAsia="宋体" w:cs="Times New Roman"/>
          <w:sz w:val="24"/>
        </w:rPr>
        <w:t>8. 设备故障原因分析</w:t>
      </w:r>
      <w:r>
        <w:rPr>
          <w:rFonts w:hint="eastAsia" w:ascii="宋体" w:hAnsi="宋体" w:eastAsia="宋体" w:cs="Times New Roman"/>
          <w:sz w:val="24"/>
        </w:rPr>
        <w:cr/>
      </w:r>
      <w:r>
        <w:rPr>
          <w:rFonts w:hint="eastAsia" w:ascii="宋体" w:hAnsi="宋体" w:eastAsia="宋体" w:cs="Times New Roman"/>
          <w:sz w:val="24"/>
        </w:rPr>
        <w:t>9. 查找和清除“六源”活动</w:t>
      </w:r>
      <w:r>
        <w:rPr>
          <w:rFonts w:hint="eastAsia" w:ascii="宋体" w:hAnsi="宋体" w:eastAsia="宋体" w:cs="Times New Roman"/>
          <w:sz w:val="24"/>
        </w:rPr>
        <w:cr/>
      </w:r>
      <w:r>
        <w:rPr>
          <w:rFonts w:hint="eastAsia" w:ascii="宋体" w:hAnsi="宋体" w:eastAsia="宋体" w:cs="Times New Roman"/>
          <w:sz w:val="24"/>
        </w:rPr>
        <w:t>10. 实现“0”故障的五大对策</w:t>
      </w:r>
      <w:r>
        <w:rPr>
          <w:rFonts w:ascii="宋体" w:hAnsi="宋体" w:eastAsia="宋体" w:cs="Times New Roman"/>
          <w:sz w:val="24"/>
        </w:rPr>
        <w:cr/>
      </w:r>
      <w:r>
        <w:rPr>
          <w:rFonts w:hint="eastAsia" w:ascii="宋体" w:hAnsi="宋体" w:eastAsia="宋体" w:cs="Times New Roman"/>
          <w:b/>
          <w:sz w:val="24"/>
        </w:rPr>
        <w:t>图表案例：</w:t>
      </w:r>
      <w:r>
        <w:rPr>
          <w:rFonts w:hint="eastAsia" w:ascii="宋体" w:hAnsi="宋体" w:eastAsia="宋体" w:cs="Times New Roman"/>
          <w:sz w:val="24"/>
        </w:rPr>
        <w:t>设备的可视化管理看板</w:t>
      </w:r>
    </w:p>
    <w:p w14:paraId="7D216C31">
      <w:pPr>
        <w:spacing w:line="480" w:lineRule="exact"/>
        <w:rPr>
          <w:rFonts w:ascii="宋体" w:hAnsi="宋体" w:eastAsia="宋体" w:cs="Times New Roman"/>
          <w:sz w:val="24"/>
        </w:rPr>
      </w:pPr>
      <w:r>
        <w:rPr>
          <w:rFonts w:hint="eastAsia" w:ascii="宋体" w:hAnsi="宋体" w:eastAsia="宋体" w:cs="Times New Roman"/>
          <w:b/>
          <w:sz w:val="24"/>
        </w:rPr>
        <w:t>图表案例：</w:t>
      </w:r>
      <w:r>
        <w:rPr>
          <w:rFonts w:hint="eastAsia" w:ascii="宋体" w:hAnsi="宋体" w:eastAsia="宋体" w:cs="Times New Roman"/>
          <w:sz w:val="24"/>
        </w:rPr>
        <w:t>设备重要度评价体系</w:t>
      </w:r>
    </w:p>
    <w:p w14:paraId="1B0A83A0">
      <w:pPr>
        <w:spacing w:line="480" w:lineRule="exact"/>
        <w:rPr>
          <w:rFonts w:ascii="宋体" w:hAnsi="宋体" w:eastAsia="宋体" w:cs="Times New Roman"/>
          <w:sz w:val="24"/>
        </w:rPr>
      </w:pPr>
      <w:r>
        <w:rPr>
          <w:rFonts w:hint="eastAsia" w:ascii="宋体" w:hAnsi="宋体" w:eastAsia="宋体" w:cs="Times New Roman"/>
          <w:b/>
          <w:bCs/>
          <w:sz w:val="24"/>
        </w:rPr>
        <w:t>视频案例分享：</w:t>
      </w:r>
      <w:r>
        <w:rPr>
          <w:rFonts w:hint="eastAsia" w:ascii="宋体" w:hAnsi="宋体" w:eastAsia="宋体" w:cs="Times New Roman"/>
          <w:sz w:val="24"/>
        </w:rPr>
        <w:t>企业TPM推行</w:t>
      </w:r>
    </w:p>
    <w:p w14:paraId="47546A29">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二、设备目标管理和评价指标体系</w:t>
      </w:r>
    </w:p>
    <w:p w14:paraId="25632C6D">
      <w:pPr>
        <w:spacing w:line="480" w:lineRule="exact"/>
        <w:rPr>
          <w:rFonts w:ascii="宋体" w:hAnsi="宋体" w:eastAsia="宋体" w:cs="Times New Roman"/>
          <w:sz w:val="24"/>
        </w:rPr>
      </w:pPr>
      <w:r>
        <w:rPr>
          <w:rFonts w:hint="eastAsia" w:ascii="宋体" w:hAnsi="宋体" w:eastAsia="宋体" w:cs="Times New Roman"/>
          <w:sz w:val="24"/>
        </w:rPr>
        <w:t>1. 设备综合运行效率OEE的结构</w:t>
      </w:r>
      <w:r>
        <w:rPr>
          <w:rFonts w:hint="eastAsia" w:ascii="宋体" w:hAnsi="宋体" w:eastAsia="宋体" w:cs="Times New Roman"/>
          <w:sz w:val="24"/>
        </w:rPr>
        <w:cr/>
      </w:r>
      <w:r>
        <w:rPr>
          <w:rFonts w:hint="eastAsia" w:ascii="宋体" w:hAnsi="宋体" w:eastAsia="宋体" w:cs="Times New Roman"/>
          <w:sz w:val="24"/>
        </w:rPr>
        <w:t>2. 影响设备效率的6大损失</w:t>
      </w:r>
      <w:r>
        <w:rPr>
          <w:rFonts w:hint="eastAsia" w:ascii="宋体" w:hAnsi="宋体" w:eastAsia="宋体" w:cs="Times New Roman"/>
          <w:sz w:val="24"/>
        </w:rPr>
        <w:cr/>
      </w:r>
      <w:r>
        <w:rPr>
          <w:rFonts w:hint="eastAsia" w:ascii="宋体" w:hAnsi="宋体" w:eastAsia="宋体" w:cs="Times New Roman"/>
          <w:sz w:val="24"/>
        </w:rPr>
        <w:t>3. 设备3大效率（时间效率、性能效率、品质效率）内涵</w:t>
      </w:r>
      <w:r>
        <w:rPr>
          <w:rFonts w:hint="eastAsia" w:ascii="宋体" w:hAnsi="宋体" w:eastAsia="宋体" w:cs="Times New Roman"/>
          <w:sz w:val="24"/>
        </w:rPr>
        <w:cr/>
      </w:r>
      <w:r>
        <w:rPr>
          <w:rFonts w:hint="eastAsia" w:ascii="宋体" w:hAnsi="宋体" w:eastAsia="宋体" w:cs="Times New Roman"/>
          <w:sz w:val="24"/>
        </w:rPr>
        <w:t>4. 综合生产效率的数据结构与计算公式</w:t>
      </w:r>
      <w:r>
        <w:rPr>
          <w:rFonts w:hint="eastAsia" w:ascii="宋体" w:hAnsi="宋体" w:eastAsia="宋体" w:cs="Times New Roman"/>
          <w:sz w:val="24"/>
        </w:rPr>
        <w:cr/>
      </w:r>
      <w:r>
        <w:rPr>
          <w:rFonts w:hint="eastAsia" w:ascii="宋体" w:hAnsi="宋体" w:eastAsia="宋体" w:cs="Times New Roman"/>
          <w:sz w:val="24"/>
        </w:rPr>
        <w:t>5. 设备管理的绩效评估体系与管理职能区分</w:t>
      </w:r>
      <w:r>
        <w:rPr>
          <w:rFonts w:hint="eastAsia" w:ascii="宋体" w:hAnsi="宋体" w:eastAsia="宋体" w:cs="Times New Roman"/>
          <w:sz w:val="24"/>
        </w:rPr>
        <w:cr/>
      </w:r>
      <w:r>
        <w:rPr>
          <w:rFonts w:hint="eastAsia" w:ascii="宋体" w:hAnsi="宋体" w:eastAsia="宋体" w:cs="Times New Roman"/>
          <w:sz w:val="24"/>
        </w:rPr>
        <w:t>6. 设备专业保全主要指标MTBF/MTTR</w:t>
      </w:r>
      <w:r>
        <w:rPr>
          <w:rFonts w:ascii="宋体" w:hAnsi="宋体" w:eastAsia="宋体" w:cs="Times New Roman"/>
          <w:sz w:val="24"/>
        </w:rPr>
        <w:cr/>
      </w:r>
      <w:r>
        <w:rPr>
          <w:rFonts w:hint="eastAsia" w:ascii="宋体" w:hAnsi="宋体" w:eastAsia="宋体" w:cs="Times New Roman"/>
          <w:b/>
          <w:sz w:val="24"/>
        </w:rPr>
        <w:t>视频案例：</w:t>
      </w:r>
      <w:r>
        <w:rPr>
          <w:rFonts w:hint="eastAsia" w:ascii="宋体" w:hAnsi="宋体" w:eastAsia="宋体" w:cs="Times New Roman"/>
          <w:sz w:val="24"/>
        </w:rPr>
        <w:t>某公司</w:t>
      </w:r>
      <w:r>
        <w:rPr>
          <w:rFonts w:ascii="宋体" w:hAnsi="宋体" w:eastAsia="宋体" w:cs="Times New Roman"/>
          <w:sz w:val="24"/>
        </w:rPr>
        <w:t>MTTR/MTBF</w:t>
      </w:r>
      <w:r>
        <w:rPr>
          <w:rFonts w:hint="eastAsia" w:ascii="宋体" w:hAnsi="宋体" w:eastAsia="宋体" w:cs="Times New Roman"/>
          <w:sz w:val="24"/>
        </w:rPr>
        <w:t>案例分享</w:t>
      </w:r>
    </w:p>
    <w:p w14:paraId="0A31EA81">
      <w:pPr>
        <w:spacing w:line="480" w:lineRule="exact"/>
        <w:rPr>
          <w:rFonts w:ascii="宋体" w:hAnsi="宋体" w:eastAsia="宋体" w:cs="Times New Roman"/>
          <w:sz w:val="24"/>
        </w:rPr>
      </w:pPr>
      <w:r>
        <w:rPr>
          <w:rFonts w:hint="eastAsia" w:ascii="宋体" w:hAnsi="宋体" w:eastAsia="宋体" w:cs="Times New Roman"/>
          <w:b/>
          <w:sz w:val="24"/>
        </w:rPr>
        <w:t>工具：</w:t>
      </w:r>
      <w:r>
        <w:rPr>
          <w:rFonts w:hint="eastAsia" w:ascii="宋体" w:hAnsi="宋体" w:eastAsia="宋体" w:cs="Times New Roman"/>
          <w:sz w:val="24"/>
        </w:rPr>
        <w:t>设备可视化管理用表</w:t>
      </w:r>
    </w:p>
    <w:p w14:paraId="5237C93B">
      <w:pPr>
        <w:spacing w:line="480" w:lineRule="exact"/>
        <w:rPr>
          <w:rFonts w:ascii="宋体" w:hAnsi="宋体" w:eastAsia="宋体" w:cs="Times New Roman"/>
          <w:sz w:val="24"/>
        </w:rPr>
      </w:pPr>
    </w:p>
    <w:p w14:paraId="49873593">
      <w:pPr>
        <w:spacing w:line="480" w:lineRule="exact"/>
        <w:rPr>
          <w:rFonts w:ascii="宋体" w:hAnsi="宋体" w:eastAsia="宋体" w:cs="微软雅黑"/>
          <w:b/>
          <w:color w:val="1F4E79"/>
          <w:sz w:val="24"/>
        </w:rPr>
      </w:pPr>
      <w:r>
        <w:rPr>
          <w:rFonts w:hint="eastAsia" w:ascii="宋体" w:hAnsi="宋体" w:eastAsia="宋体" w:cs="微软雅黑"/>
          <w:b/>
          <w:color w:val="1F4E79"/>
          <w:sz w:val="24"/>
        </w:rPr>
        <w:t>第二讲：</w:t>
      </w:r>
      <w:r>
        <w:rPr>
          <w:rFonts w:ascii="宋体" w:hAnsi="宋体" w:eastAsia="宋体" w:cs="微软雅黑"/>
          <w:b/>
          <w:color w:val="1F4E79"/>
          <w:sz w:val="24"/>
        </w:rPr>
        <w:t>TPM</w:t>
      </w:r>
      <w:r>
        <w:rPr>
          <w:rFonts w:hint="eastAsia" w:ascii="宋体" w:hAnsi="宋体" w:eastAsia="宋体" w:cs="微软雅黑"/>
          <w:b/>
          <w:color w:val="1F4E79"/>
          <w:sz w:val="24"/>
        </w:rPr>
        <w:t>的两大基石</w:t>
      </w:r>
    </w:p>
    <w:p w14:paraId="50FAE3C5">
      <w:pPr>
        <w:spacing w:line="480" w:lineRule="exact"/>
        <w:rPr>
          <w:rFonts w:ascii="宋体" w:hAnsi="宋体" w:eastAsia="宋体" w:cs="Times New Roman"/>
          <w:b/>
          <w:color w:val="C45911"/>
          <w:sz w:val="24"/>
          <w:szCs w:val="22"/>
        </w:rPr>
      </w:pPr>
      <w:r>
        <w:drawing>
          <wp:anchor distT="0" distB="0" distL="114300" distR="114300" simplePos="0" relativeHeight="251663360" behindDoc="0" locked="0" layoutInCell="1" allowOverlap="1">
            <wp:simplePos x="0" y="0"/>
            <wp:positionH relativeFrom="margin">
              <wp:posOffset>3578225</wp:posOffset>
            </wp:positionH>
            <wp:positionV relativeFrom="paragraph">
              <wp:posOffset>11430</wp:posOffset>
            </wp:positionV>
            <wp:extent cx="2910840" cy="1914525"/>
            <wp:effectExtent l="0" t="0" r="3810" b="0"/>
            <wp:wrapNone/>
            <wp:docPr id="2878613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61365"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40470" cy="1933871"/>
                    </a:xfrm>
                    <a:prstGeom prst="rect">
                      <a:avLst/>
                    </a:prstGeom>
                  </pic:spPr>
                </pic:pic>
              </a:graphicData>
            </a:graphic>
          </wp:anchor>
        </w:drawing>
      </w:r>
      <w:r>
        <w:rPr>
          <w:rFonts w:hint="eastAsia" w:ascii="宋体" w:hAnsi="宋体" w:eastAsia="宋体" w:cs="Times New Roman"/>
          <w:b/>
          <w:color w:val="C45911"/>
          <w:sz w:val="24"/>
          <w:szCs w:val="22"/>
        </w:rPr>
        <w:t>基石一：设备的</w:t>
      </w:r>
      <w:r>
        <w:rPr>
          <w:rFonts w:ascii="宋体" w:hAnsi="宋体" w:eastAsia="宋体" w:cs="Times New Roman"/>
          <w:b/>
          <w:color w:val="C45911"/>
          <w:sz w:val="24"/>
          <w:szCs w:val="22"/>
        </w:rPr>
        <w:t>5S</w:t>
      </w:r>
      <w:r>
        <w:rPr>
          <w:rFonts w:hint="eastAsia" w:ascii="宋体" w:hAnsi="宋体" w:eastAsia="宋体" w:cs="Times New Roman"/>
          <w:b/>
          <w:color w:val="C45911"/>
          <w:sz w:val="24"/>
          <w:szCs w:val="22"/>
        </w:rPr>
        <w:t>管理</w:t>
      </w:r>
    </w:p>
    <w:p w14:paraId="66C5040D">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基石二：设备改善圈</w:t>
      </w:r>
    </w:p>
    <w:p w14:paraId="70479B25">
      <w:pPr>
        <w:spacing w:line="480" w:lineRule="exact"/>
        <w:rPr>
          <w:rFonts w:ascii="宋体" w:hAnsi="宋体" w:eastAsia="宋体" w:cs="Times New Roman"/>
          <w:sz w:val="24"/>
        </w:rPr>
      </w:pPr>
      <w:r>
        <w:rPr>
          <w:rFonts w:ascii="宋体" w:hAnsi="宋体" w:eastAsia="宋体" w:cs="Times New Roman"/>
          <w:sz w:val="24"/>
        </w:rPr>
        <w:t>1</w:t>
      </w:r>
      <w:r>
        <w:rPr>
          <w:rFonts w:hint="eastAsia" w:ascii="宋体" w:hAnsi="宋体" w:eastAsia="宋体" w:cs="Times New Roman"/>
          <w:sz w:val="24"/>
        </w:rPr>
        <w:t>.</w:t>
      </w:r>
      <w:r>
        <w:rPr>
          <w:rFonts w:ascii="宋体" w:hAnsi="宋体" w:eastAsia="宋体" w:cs="Times New Roman"/>
          <w:sz w:val="24"/>
        </w:rPr>
        <w:t xml:space="preserve"> </w:t>
      </w:r>
      <w:r>
        <w:rPr>
          <w:rFonts w:hint="eastAsia" w:ascii="宋体" w:hAnsi="宋体" w:eastAsia="宋体" w:cs="Times New Roman"/>
          <w:sz w:val="24"/>
        </w:rPr>
        <w:t>认识</w:t>
      </w:r>
      <w:r>
        <w:rPr>
          <w:rFonts w:ascii="宋体" w:hAnsi="宋体" w:eastAsia="宋体" w:cs="Times New Roman"/>
          <w:sz w:val="24"/>
        </w:rPr>
        <w:t>TPM</w:t>
      </w:r>
      <w:r>
        <w:rPr>
          <w:rFonts w:hint="eastAsia" w:ascii="宋体" w:hAnsi="宋体" w:eastAsia="宋体" w:cs="Times New Roman"/>
          <w:sz w:val="24"/>
        </w:rPr>
        <w:t>小组</w:t>
      </w:r>
    </w:p>
    <w:p w14:paraId="45E4D794">
      <w:pPr>
        <w:spacing w:line="480" w:lineRule="exact"/>
        <w:rPr>
          <w:rFonts w:ascii="宋体" w:hAnsi="宋体" w:eastAsia="宋体" w:cs="Times New Roman"/>
          <w:sz w:val="24"/>
        </w:rPr>
      </w:pPr>
      <w:r>
        <w:rPr>
          <w:rFonts w:ascii="宋体" w:hAnsi="宋体" w:eastAsia="宋体" w:cs="Times New Roman"/>
          <w:sz w:val="24"/>
        </w:rPr>
        <w:t>2</w:t>
      </w:r>
      <w:r>
        <w:rPr>
          <w:rFonts w:hint="eastAsia" w:ascii="宋体" w:hAnsi="宋体" w:eastAsia="宋体" w:cs="Times New Roman"/>
          <w:sz w:val="24"/>
        </w:rPr>
        <w:t>.</w:t>
      </w:r>
      <w:r>
        <w:rPr>
          <w:rFonts w:ascii="宋体" w:hAnsi="宋体" w:eastAsia="宋体" w:cs="Times New Roman"/>
          <w:sz w:val="24"/>
        </w:rPr>
        <w:t xml:space="preserve"> T</w:t>
      </w:r>
      <w:bookmarkStart w:id="0" w:name="_Hlk144153814"/>
      <w:r>
        <w:rPr>
          <w:rFonts w:ascii="宋体" w:hAnsi="宋体" w:eastAsia="宋体" w:cs="Times New Roman"/>
          <w:sz w:val="24"/>
        </w:rPr>
        <w:t>PM</w:t>
      </w:r>
      <w:r>
        <w:rPr>
          <w:rFonts w:hint="eastAsia" w:ascii="宋体" w:hAnsi="宋体" w:eastAsia="宋体" w:cs="Times New Roman"/>
          <w:sz w:val="24"/>
        </w:rPr>
        <w:t>小组活动</w:t>
      </w:r>
      <w:bookmarkEnd w:id="0"/>
      <w:r>
        <w:rPr>
          <w:rFonts w:hint="eastAsia" w:ascii="宋体" w:hAnsi="宋体" w:eastAsia="宋体" w:cs="Times New Roman"/>
          <w:sz w:val="24"/>
        </w:rPr>
        <w:t>运作流程</w:t>
      </w:r>
    </w:p>
    <w:p w14:paraId="437A9F65">
      <w:pPr>
        <w:spacing w:line="480" w:lineRule="exact"/>
        <w:rPr>
          <w:rFonts w:ascii="宋体" w:hAnsi="宋体" w:eastAsia="宋体" w:cs="Times New Roman"/>
          <w:sz w:val="24"/>
        </w:rPr>
      </w:pPr>
      <w:r>
        <w:rPr>
          <w:rFonts w:ascii="宋体" w:hAnsi="宋体" w:eastAsia="宋体" w:cs="Times New Roman"/>
          <w:sz w:val="24"/>
        </w:rPr>
        <w:t>3</w:t>
      </w:r>
      <w:r>
        <w:rPr>
          <w:rFonts w:hint="eastAsia" w:ascii="宋体" w:hAnsi="宋体" w:eastAsia="宋体" w:cs="Times New Roman"/>
          <w:sz w:val="24"/>
        </w:rPr>
        <w:t>.</w:t>
      </w:r>
      <w:r>
        <w:rPr>
          <w:rFonts w:ascii="宋体" w:hAnsi="宋体" w:eastAsia="宋体" w:cs="Times New Roman"/>
          <w:sz w:val="24"/>
        </w:rPr>
        <w:t xml:space="preserve"> TPM</w:t>
      </w:r>
      <w:r>
        <w:rPr>
          <w:rFonts w:hint="eastAsia" w:ascii="宋体" w:hAnsi="宋体" w:eastAsia="宋体" w:cs="Times New Roman"/>
          <w:sz w:val="24"/>
        </w:rPr>
        <w:t>小组活动内容</w:t>
      </w:r>
    </w:p>
    <w:p w14:paraId="069C2F9F">
      <w:pPr>
        <w:spacing w:line="480" w:lineRule="exact"/>
        <w:rPr>
          <w:rFonts w:ascii="宋体" w:hAnsi="宋体" w:eastAsia="宋体" w:cs="Times New Roman"/>
          <w:sz w:val="24"/>
        </w:rPr>
      </w:pPr>
      <w:r>
        <w:rPr>
          <w:rFonts w:hint="eastAsia" w:ascii="宋体" w:hAnsi="宋体" w:eastAsia="宋体" w:cs="Times New Roman"/>
          <w:b/>
          <w:bCs/>
          <w:sz w:val="24"/>
        </w:rPr>
        <w:t>案例分享：</w:t>
      </w:r>
      <w:r>
        <w:rPr>
          <w:rFonts w:hint="eastAsia" w:ascii="宋体" w:hAnsi="宋体" w:eastAsia="宋体" w:cs="Times New Roman"/>
          <w:sz w:val="24"/>
        </w:rPr>
        <w:t>团队小组T</w:t>
      </w:r>
      <w:r>
        <w:rPr>
          <w:rFonts w:ascii="宋体" w:hAnsi="宋体" w:eastAsia="宋体" w:cs="Times New Roman"/>
          <w:sz w:val="24"/>
        </w:rPr>
        <w:t>PM</w:t>
      </w:r>
      <w:r>
        <w:rPr>
          <w:rFonts w:hint="eastAsia" w:ascii="宋体" w:hAnsi="宋体" w:eastAsia="宋体" w:cs="Times New Roman"/>
          <w:sz w:val="24"/>
        </w:rPr>
        <w:t>活动展示</w:t>
      </w:r>
    </w:p>
    <w:p w14:paraId="39D74C53">
      <w:pPr>
        <w:spacing w:line="480" w:lineRule="exact"/>
        <w:rPr>
          <w:rFonts w:ascii="宋体" w:hAnsi="宋体" w:eastAsia="宋体" w:cs="Times New Roman"/>
          <w:sz w:val="24"/>
        </w:rPr>
      </w:pPr>
    </w:p>
    <w:p w14:paraId="54A219E8">
      <w:pPr>
        <w:spacing w:line="480" w:lineRule="exact"/>
        <w:rPr>
          <w:rFonts w:ascii="宋体" w:hAnsi="宋体" w:eastAsia="宋体" w:cs="微软雅黑"/>
          <w:b/>
          <w:color w:val="1F4E79"/>
          <w:sz w:val="24"/>
        </w:rPr>
      </w:pPr>
      <w:r>
        <w:rPr>
          <w:rFonts w:hint="eastAsia" w:ascii="宋体" w:hAnsi="宋体" w:eastAsia="宋体" w:cs="微软雅黑"/>
          <w:b/>
          <w:color w:val="1F4E79"/>
          <w:sz w:val="24"/>
        </w:rPr>
        <w:drawing>
          <wp:anchor distT="0" distB="0" distL="114300" distR="114300" simplePos="0" relativeHeight="251659264" behindDoc="0" locked="0" layoutInCell="1" allowOverlap="1">
            <wp:simplePos x="0" y="0"/>
            <wp:positionH relativeFrom="margin">
              <wp:posOffset>3766185</wp:posOffset>
            </wp:positionH>
            <wp:positionV relativeFrom="paragraph">
              <wp:posOffset>156210</wp:posOffset>
            </wp:positionV>
            <wp:extent cx="2512695" cy="1691640"/>
            <wp:effectExtent l="19050" t="19050" r="20955" b="22860"/>
            <wp:wrapNone/>
            <wp:docPr id="13272607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60784"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12695" cy="1691640"/>
                    </a:xfrm>
                    <a:prstGeom prst="rect">
                      <a:avLst/>
                    </a:prstGeom>
                    <a:ln>
                      <a:solidFill>
                        <a:srgbClr val="FF0000"/>
                      </a:solidFill>
                    </a:ln>
                  </pic:spPr>
                </pic:pic>
              </a:graphicData>
            </a:graphic>
          </wp:anchor>
        </w:drawing>
      </w:r>
      <w:r>
        <w:rPr>
          <w:rFonts w:hint="eastAsia" w:ascii="宋体" w:hAnsi="宋体" w:eastAsia="宋体" w:cs="微软雅黑"/>
          <w:b/>
          <w:color w:val="1F4E79"/>
          <w:sz w:val="24"/>
        </w:rPr>
        <w:t>第三讲：</w:t>
      </w:r>
      <w:r>
        <w:rPr>
          <w:rFonts w:ascii="宋体" w:hAnsi="宋体" w:eastAsia="宋体" w:cs="微软雅黑"/>
          <w:b/>
          <w:color w:val="1F4E79"/>
          <w:sz w:val="24"/>
        </w:rPr>
        <w:t>TPM</w:t>
      </w:r>
      <w:r>
        <w:rPr>
          <w:rFonts w:hint="eastAsia" w:ascii="宋体" w:hAnsi="宋体" w:eastAsia="宋体" w:cs="微软雅黑"/>
          <w:b/>
          <w:color w:val="1F4E79"/>
          <w:sz w:val="24"/>
        </w:rPr>
        <w:t>活动的八大支柱</w:t>
      </w:r>
    </w:p>
    <w:p w14:paraId="4A9E5187">
      <w:pPr>
        <w:spacing w:line="480" w:lineRule="exact"/>
        <w:rPr>
          <w:rFonts w:ascii="宋体" w:hAnsi="宋体" w:eastAsia="宋体" w:cs="Times New Roman"/>
          <w:b/>
          <w:sz w:val="24"/>
        </w:rPr>
      </w:pPr>
      <w:r>
        <w:rPr>
          <w:rFonts w:hint="eastAsia" w:ascii="宋体" w:hAnsi="宋体" w:eastAsia="宋体" w:cs="Times New Roman"/>
          <w:b/>
          <w:color w:val="C45911"/>
          <w:sz w:val="24"/>
          <w:szCs w:val="22"/>
        </w:rPr>
        <w:t>一、自主保全</w:t>
      </w:r>
      <w:r>
        <w:rPr>
          <w:rFonts w:ascii="宋体" w:hAnsi="宋体" w:eastAsia="宋体" w:cs="Times New Roman"/>
          <w:b/>
          <w:color w:val="C45911"/>
          <w:sz w:val="24"/>
          <w:szCs w:val="22"/>
        </w:rPr>
        <w:cr/>
      </w:r>
      <w:r>
        <w:rPr>
          <w:rFonts w:ascii="宋体" w:hAnsi="宋体" w:eastAsia="宋体" w:cs="Times New Roman"/>
          <w:sz w:val="24"/>
        </w:rPr>
        <w:t xml:space="preserve">1. </w:t>
      </w:r>
      <w:r>
        <w:rPr>
          <w:rFonts w:hint="eastAsia" w:ascii="宋体" w:hAnsi="宋体" w:eastAsia="宋体" w:cs="Times New Roman"/>
          <w:sz w:val="24"/>
        </w:rPr>
        <w:t>整理、整顿的开展</w:t>
      </w:r>
      <w:r>
        <w:rPr>
          <w:rFonts w:ascii="宋体" w:hAnsi="宋体" w:eastAsia="宋体" w:cs="Times New Roman"/>
          <w:sz w:val="24"/>
        </w:rPr>
        <w:cr/>
      </w:r>
      <w:r>
        <w:rPr>
          <w:rFonts w:ascii="宋体" w:hAnsi="宋体" w:eastAsia="宋体" w:cs="Times New Roman"/>
          <w:sz w:val="24"/>
        </w:rPr>
        <w:t xml:space="preserve">2. </w:t>
      </w:r>
      <w:r>
        <w:rPr>
          <w:rFonts w:hint="eastAsia" w:ascii="宋体" w:hAnsi="宋体" w:eastAsia="宋体" w:cs="Times New Roman"/>
          <w:sz w:val="24"/>
        </w:rPr>
        <w:t>设备初期清扫</w:t>
      </w:r>
      <w:r>
        <w:rPr>
          <w:rFonts w:ascii="宋体" w:hAnsi="宋体" w:eastAsia="宋体" w:cs="Times New Roman"/>
          <w:sz w:val="24"/>
        </w:rPr>
        <w:cr/>
      </w:r>
      <w:r>
        <w:rPr>
          <w:rFonts w:ascii="宋体" w:hAnsi="宋体" w:eastAsia="宋体" w:cs="Times New Roman"/>
          <w:sz w:val="24"/>
        </w:rPr>
        <w:t xml:space="preserve">3. </w:t>
      </w:r>
      <w:r>
        <w:rPr>
          <w:rFonts w:hint="eastAsia" w:ascii="宋体" w:hAnsi="宋体" w:eastAsia="宋体" w:cs="Times New Roman"/>
          <w:sz w:val="24"/>
        </w:rPr>
        <w:t>设备发生源、困难部位改善对策实施</w:t>
      </w:r>
      <w:r>
        <w:rPr>
          <w:rFonts w:ascii="宋体" w:hAnsi="宋体" w:eastAsia="宋体" w:cs="Times New Roman"/>
          <w:sz w:val="24"/>
        </w:rPr>
        <w:cr/>
      </w:r>
      <w:r>
        <w:rPr>
          <w:rFonts w:ascii="宋体" w:hAnsi="宋体" w:eastAsia="宋体" w:cs="Times New Roman"/>
          <w:sz w:val="24"/>
        </w:rPr>
        <w:t xml:space="preserve">4. </w:t>
      </w:r>
      <w:r>
        <w:rPr>
          <w:rFonts w:hint="eastAsia" w:ascii="宋体" w:hAnsi="宋体" w:eastAsia="宋体" w:cs="Times New Roman"/>
          <w:sz w:val="24"/>
        </w:rPr>
        <w:t>制订设备清扫基准书</w:t>
      </w:r>
      <w:r>
        <w:rPr>
          <w:rFonts w:ascii="宋体" w:hAnsi="宋体" w:eastAsia="宋体" w:cs="Times New Roman"/>
          <w:sz w:val="24"/>
        </w:rPr>
        <w:cr/>
      </w:r>
      <w:r>
        <w:rPr>
          <w:rFonts w:ascii="宋体" w:hAnsi="宋体" w:eastAsia="宋体" w:cs="Times New Roman"/>
          <w:sz w:val="24"/>
        </w:rPr>
        <w:t xml:space="preserve">5. </w:t>
      </w:r>
      <w:r>
        <w:rPr>
          <w:rFonts w:hint="eastAsia" w:ascii="宋体" w:hAnsi="宋体" w:eastAsia="宋体" w:cs="Times New Roman"/>
          <w:sz w:val="24"/>
        </w:rPr>
        <w:t>制订总点检计划</w:t>
      </w:r>
      <w:r>
        <w:rPr>
          <w:rFonts w:ascii="宋体" w:hAnsi="宋体" w:eastAsia="宋体" w:cs="Times New Roman"/>
          <w:sz w:val="24"/>
        </w:rPr>
        <w:cr/>
      </w:r>
      <w:r>
        <w:rPr>
          <w:rFonts w:ascii="宋体" w:hAnsi="宋体" w:eastAsia="宋体" w:cs="Times New Roman"/>
          <w:sz w:val="24"/>
        </w:rPr>
        <w:t xml:space="preserve">6. </w:t>
      </w:r>
      <w:r>
        <w:rPr>
          <w:rFonts w:hint="eastAsia" w:ascii="宋体" w:hAnsi="宋体" w:eastAsia="宋体" w:cs="Times New Roman"/>
          <w:sz w:val="24"/>
        </w:rPr>
        <w:t>自主点检效率化</w:t>
      </w:r>
      <w:r>
        <w:rPr>
          <w:rFonts w:ascii="宋体" w:hAnsi="宋体" w:eastAsia="宋体" w:cs="Times New Roman"/>
          <w:sz w:val="24"/>
        </w:rPr>
        <w:cr/>
      </w:r>
      <w:r>
        <w:rPr>
          <w:rFonts w:ascii="宋体" w:hAnsi="宋体" w:eastAsia="宋体" w:cs="Times New Roman"/>
          <w:sz w:val="24"/>
        </w:rPr>
        <w:t xml:space="preserve">7. </w:t>
      </w:r>
      <w:r>
        <w:rPr>
          <w:rFonts w:hint="eastAsia" w:ascii="宋体" w:hAnsi="宋体" w:eastAsia="宋体" w:cs="Times New Roman"/>
          <w:sz w:val="24"/>
        </w:rPr>
        <w:t>自主管理体系建立</w:t>
      </w:r>
      <w:r>
        <w:rPr>
          <w:rFonts w:ascii="宋体" w:hAnsi="宋体" w:eastAsia="宋体" w:cs="Times New Roman"/>
          <w:sz w:val="24"/>
        </w:rPr>
        <w:cr/>
      </w:r>
      <w:r>
        <w:rPr>
          <w:rFonts w:hint="eastAsia" w:ascii="宋体" w:hAnsi="宋体" w:eastAsia="宋体" w:cs="Times New Roman"/>
          <w:b/>
          <w:sz w:val="24"/>
        </w:rPr>
        <w:t>自主保全的方法：</w:t>
      </w:r>
    </w:p>
    <w:p w14:paraId="7729C562">
      <w:pPr>
        <w:spacing w:line="480" w:lineRule="exact"/>
        <w:rPr>
          <w:rFonts w:ascii="宋体" w:hAnsi="宋体" w:eastAsia="宋体" w:cs="Times New Roman"/>
          <w:sz w:val="24"/>
        </w:rPr>
      </w:pPr>
      <w:r>
        <w:drawing>
          <wp:anchor distT="0" distB="0" distL="114300" distR="114300" simplePos="0" relativeHeight="251661312" behindDoc="0" locked="0" layoutInCell="1" allowOverlap="1">
            <wp:simplePos x="0" y="0"/>
            <wp:positionH relativeFrom="column">
              <wp:posOffset>3823335</wp:posOffset>
            </wp:positionH>
            <wp:positionV relativeFrom="paragraph">
              <wp:posOffset>144780</wp:posOffset>
            </wp:positionV>
            <wp:extent cx="2489200" cy="1835150"/>
            <wp:effectExtent l="19050" t="19050" r="25400" b="12700"/>
            <wp:wrapNone/>
            <wp:docPr id="3410159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15975"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9200" cy="1835150"/>
                    </a:xfrm>
                    <a:prstGeom prst="rect">
                      <a:avLst/>
                    </a:prstGeom>
                    <a:ln>
                      <a:solidFill>
                        <a:srgbClr val="FF0000"/>
                      </a:solidFill>
                    </a:ln>
                  </pic:spPr>
                </pic:pic>
              </a:graphicData>
            </a:graphic>
          </wp:anchor>
        </w:drawing>
      </w:r>
      <w:r>
        <w:rPr>
          <w:rFonts w:ascii="宋体" w:hAnsi="宋体" w:eastAsia="宋体" w:cs="Times New Roman"/>
          <w:sz w:val="24"/>
        </w:rPr>
        <w:t>1</w:t>
      </w:r>
      <w:r>
        <w:rPr>
          <w:rFonts w:hint="eastAsia" w:ascii="宋体" w:hAnsi="宋体" w:eastAsia="宋体" w:cs="Times New Roman"/>
          <w:sz w:val="24"/>
        </w:rPr>
        <w:t>. 自主保全vs</w:t>
      </w:r>
      <w:r>
        <w:rPr>
          <w:rFonts w:ascii="宋体" w:hAnsi="宋体" w:eastAsia="宋体" w:cs="Times New Roman"/>
          <w:sz w:val="24"/>
        </w:rPr>
        <w:t>.</w:t>
      </w:r>
      <w:r>
        <w:rPr>
          <w:rFonts w:hint="eastAsia" w:ascii="宋体" w:hAnsi="宋体" w:eastAsia="宋体" w:cs="Times New Roman"/>
          <w:sz w:val="24"/>
        </w:rPr>
        <w:t>专门保全</w:t>
      </w:r>
    </w:p>
    <w:p w14:paraId="155A42CF">
      <w:pPr>
        <w:spacing w:line="480" w:lineRule="exact"/>
        <w:rPr>
          <w:rFonts w:ascii="宋体" w:hAnsi="宋体" w:eastAsia="宋体" w:cs="Times New Roman"/>
          <w:sz w:val="24"/>
        </w:rPr>
      </w:pPr>
      <w:r>
        <w:rPr>
          <w:rFonts w:ascii="宋体" w:hAnsi="宋体" w:eastAsia="宋体" w:cs="Times New Roman"/>
          <w:sz w:val="24"/>
        </w:rPr>
        <w:t>2</w:t>
      </w:r>
      <w:r>
        <w:rPr>
          <w:rFonts w:hint="eastAsia" w:ascii="宋体" w:hAnsi="宋体" w:eastAsia="宋体" w:cs="Times New Roman"/>
          <w:sz w:val="24"/>
        </w:rPr>
        <w:t>. 自主保全的目的</w:t>
      </w:r>
      <w:r>
        <w:rPr>
          <w:rFonts w:hint="eastAsia" w:ascii="宋体" w:hAnsi="宋体" w:eastAsia="宋体" w:cs="Times New Roman"/>
          <w:sz w:val="24"/>
        </w:rPr>
        <w:cr/>
      </w:r>
      <w:r>
        <w:rPr>
          <w:rFonts w:ascii="宋体" w:hAnsi="宋体" w:eastAsia="宋体" w:cs="Times New Roman"/>
          <w:sz w:val="24"/>
        </w:rPr>
        <w:t>3</w:t>
      </w:r>
      <w:r>
        <w:rPr>
          <w:rFonts w:hint="eastAsia" w:ascii="宋体" w:hAnsi="宋体" w:eastAsia="宋体" w:cs="Times New Roman"/>
          <w:sz w:val="24"/>
        </w:rPr>
        <w:t>. 自主保全7个步骤活动的展开</w:t>
      </w:r>
      <w:r>
        <w:rPr>
          <w:rFonts w:hint="eastAsia" w:ascii="宋体" w:hAnsi="宋体" w:eastAsia="宋体" w:cs="Times New Roman"/>
          <w:sz w:val="24"/>
        </w:rPr>
        <w:cr/>
      </w:r>
      <w:r>
        <w:rPr>
          <w:rFonts w:ascii="宋体" w:hAnsi="宋体" w:eastAsia="宋体" w:cs="Times New Roman"/>
          <w:sz w:val="24"/>
        </w:rPr>
        <w:t>4</w:t>
      </w:r>
      <w:r>
        <w:rPr>
          <w:rFonts w:hint="eastAsia" w:ascii="宋体" w:hAnsi="宋体" w:eastAsia="宋体" w:cs="Times New Roman"/>
          <w:sz w:val="24"/>
        </w:rPr>
        <w:t>. 自主保全的特征</w:t>
      </w:r>
      <w:r>
        <w:rPr>
          <w:rFonts w:hint="eastAsia" w:ascii="宋体" w:hAnsi="宋体" w:eastAsia="宋体" w:cs="Times New Roman"/>
          <w:sz w:val="24"/>
        </w:rPr>
        <w:cr/>
      </w:r>
      <w:r>
        <w:rPr>
          <w:rFonts w:ascii="宋体" w:hAnsi="宋体" w:eastAsia="宋体" w:cs="Times New Roman"/>
          <w:sz w:val="24"/>
        </w:rPr>
        <w:t>5</w:t>
      </w:r>
      <w:r>
        <w:rPr>
          <w:rFonts w:hint="eastAsia" w:ascii="宋体" w:hAnsi="宋体" w:eastAsia="宋体" w:cs="Times New Roman"/>
          <w:sz w:val="24"/>
        </w:rPr>
        <w:t>. 诊断体系</w:t>
      </w:r>
      <w:r>
        <w:rPr>
          <w:rFonts w:hint="eastAsia" w:ascii="宋体" w:hAnsi="宋体" w:eastAsia="宋体" w:cs="Times New Roman"/>
          <w:sz w:val="24"/>
        </w:rPr>
        <w:cr/>
      </w:r>
      <w:r>
        <w:rPr>
          <w:rFonts w:ascii="宋体" w:hAnsi="宋体" w:eastAsia="宋体" w:cs="Times New Roman"/>
          <w:sz w:val="24"/>
        </w:rPr>
        <w:t>6</w:t>
      </w:r>
      <w:r>
        <w:rPr>
          <w:rFonts w:hint="eastAsia" w:ascii="宋体" w:hAnsi="宋体" w:eastAsia="宋体" w:cs="Times New Roman"/>
          <w:sz w:val="24"/>
        </w:rPr>
        <w:t>. 自主保全的成功要点</w:t>
      </w:r>
      <w:r>
        <w:rPr>
          <w:rFonts w:ascii="宋体" w:hAnsi="宋体" w:eastAsia="宋体" w:cs="Times New Roman"/>
          <w:sz w:val="24"/>
        </w:rPr>
        <w:cr/>
      </w:r>
      <w:r>
        <w:rPr>
          <w:rFonts w:hint="eastAsia" w:ascii="宋体" w:hAnsi="宋体" w:eastAsia="宋体" w:cs="Times New Roman"/>
          <w:b/>
          <w:bCs/>
          <w:sz w:val="24"/>
        </w:rPr>
        <w:t>视频案例：</w:t>
      </w:r>
      <w:r>
        <w:rPr>
          <w:rFonts w:ascii="宋体" w:hAnsi="宋体" w:eastAsia="宋体" w:cs="Times New Roman"/>
          <w:sz w:val="24"/>
        </w:rPr>
        <w:t>3</w:t>
      </w:r>
      <w:r>
        <w:rPr>
          <w:rFonts w:hint="eastAsia" w:ascii="宋体" w:hAnsi="宋体" w:eastAsia="宋体" w:cs="Times New Roman"/>
          <w:sz w:val="24"/>
        </w:rPr>
        <w:t>家企业TPM案例分享</w:t>
      </w:r>
    </w:p>
    <w:p w14:paraId="414E8784">
      <w:pPr>
        <w:spacing w:line="480" w:lineRule="exact"/>
        <w:rPr>
          <w:rFonts w:ascii="宋体" w:hAnsi="宋体" w:eastAsia="宋体" w:cs="Times New Roman"/>
          <w:b/>
          <w:sz w:val="24"/>
        </w:rPr>
      </w:pPr>
      <w:r>
        <w:drawing>
          <wp:anchor distT="0" distB="0" distL="114300" distR="114300" simplePos="0" relativeHeight="251662336" behindDoc="0" locked="0" layoutInCell="1" allowOverlap="1">
            <wp:simplePos x="0" y="0"/>
            <wp:positionH relativeFrom="margin">
              <wp:align>right</wp:align>
            </wp:positionH>
            <wp:positionV relativeFrom="paragraph">
              <wp:posOffset>2325370</wp:posOffset>
            </wp:positionV>
            <wp:extent cx="2177415" cy="1457960"/>
            <wp:effectExtent l="19050" t="19050" r="13335" b="27940"/>
            <wp:wrapNone/>
            <wp:docPr id="9913959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395929"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7415" cy="1457960"/>
                    </a:xfrm>
                    <a:prstGeom prst="rect">
                      <a:avLst/>
                    </a:prstGeom>
                    <a:ln>
                      <a:solidFill>
                        <a:srgbClr val="FF0000"/>
                      </a:solidFill>
                    </a:ln>
                  </pic:spPr>
                </pic:pic>
              </a:graphicData>
            </a:graphic>
          </wp:anchor>
        </w:drawing>
      </w:r>
      <w:r>
        <w:rPr>
          <w:rFonts w:hint="eastAsia" w:ascii="宋体" w:hAnsi="宋体" w:eastAsia="宋体" w:cs="Times New Roman"/>
          <w:b/>
          <w:color w:val="C45911"/>
          <w:sz w:val="24"/>
          <w:szCs w:val="22"/>
        </w:rPr>
        <w:t>二、个别改善（课题改善）</w:t>
      </w:r>
      <w:r>
        <w:rPr>
          <w:rFonts w:ascii="宋体" w:hAnsi="宋体" w:eastAsia="宋体" w:cs="Times New Roman"/>
          <w:b/>
          <w:color w:val="C45911"/>
          <w:sz w:val="24"/>
          <w:szCs w:val="22"/>
        </w:rPr>
        <w:cr/>
      </w:r>
      <w:r>
        <w:rPr>
          <w:rFonts w:ascii="宋体" w:hAnsi="宋体" w:eastAsia="宋体" w:cs="Times New Roman"/>
          <w:sz w:val="24"/>
        </w:rPr>
        <w:t xml:space="preserve">1. </w:t>
      </w:r>
      <w:r>
        <w:rPr>
          <w:rFonts w:hint="eastAsia" w:ascii="宋体" w:hAnsi="宋体" w:eastAsia="宋体" w:cs="Times New Roman"/>
          <w:sz w:val="24"/>
        </w:rPr>
        <w:t>个别改善的定义和目的</w:t>
      </w:r>
      <w:r>
        <w:rPr>
          <w:rFonts w:ascii="宋体" w:hAnsi="宋体" w:eastAsia="宋体" w:cs="Times New Roman"/>
          <w:sz w:val="24"/>
        </w:rPr>
        <w:cr/>
      </w:r>
      <w:r>
        <w:rPr>
          <w:rFonts w:ascii="宋体" w:hAnsi="宋体" w:eastAsia="宋体" w:cs="Times New Roman"/>
          <w:sz w:val="24"/>
        </w:rPr>
        <w:t xml:space="preserve">2. </w:t>
      </w:r>
      <w:r>
        <w:rPr>
          <w:rFonts w:hint="eastAsia" w:ascii="宋体" w:hAnsi="宋体" w:eastAsia="宋体" w:cs="Times New Roman"/>
          <w:sz w:val="24"/>
        </w:rPr>
        <w:t>主题活动的分类和事项</w:t>
      </w:r>
      <w:r>
        <w:rPr>
          <w:rFonts w:ascii="宋体" w:hAnsi="宋体" w:eastAsia="宋体" w:cs="Times New Roman"/>
          <w:sz w:val="24"/>
        </w:rPr>
        <w:cr/>
      </w:r>
      <w:r>
        <w:rPr>
          <w:rFonts w:ascii="宋体" w:hAnsi="宋体" w:eastAsia="宋体" w:cs="Times New Roman"/>
          <w:sz w:val="24"/>
        </w:rPr>
        <w:t xml:space="preserve">3. </w:t>
      </w:r>
      <w:r>
        <w:rPr>
          <w:rFonts w:hint="eastAsia" w:ascii="宋体" w:hAnsi="宋体" w:eastAsia="宋体" w:cs="Times New Roman"/>
          <w:sz w:val="24"/>
        </w:rPr>
        <w:t>主题活动开展的规划</w:t>
      </w:r>
      <w:r>
        <w:rPr>
          <w:rFonts w:ascii="宋体" w:hAnsi="宋体" w:eastAsia="宋体" w:cs="Times New Roman"/>
          <w:sz w:val="24"/>
        </w:rPr>
        <w:cr/>
      </w:r>
      <w:r>
        <w:rPr>
          <w:rFonts w:ascii="宋体" w:hAnsi="宋体" w:eastAsia="宋体" w:cs="Times New Roman"/>
          <w:sz w:val="24"/>
        </w:rPr>
        <w:t xml:space="preserve">4. </w:t>
      </w:r>
      <w:r>
        <w:rPr>
          <w:rFonts w:hint="eastAsia" w:ascii="宋体" w:hAnsi="宋体" w:eastAsia="宋体" w:cs="Times New Roman"/>
          <w:sz w:val="24"/>
        </w:rPr>
        <w:t>个别改善展开的</w:t>
      </w:r>
      <w:r>
        <w:rPr>
          <w:rFonts w:ascii="宋体" w:hAnsi="宋体" w:eastAsia="宋体" w:cs="Times New Roman"/>
          <w:sz w:val="24"/>
        </w:rPr>
        <w:t>12</w:t>
      </w:r>
      <w:r>
        <w:rPr>
          <w:rFonts w:hint="eastAsia" w:ascii="宋体" w:hAnsi="宋体" w:eastAsia="宋体" w:cs="Times New Roman"/>
          <w:sz w:val="24"/>
        </w:rPr>
        <w:t>步法</w:t>
      </w:r>
      <w:r>
        <w:rPr>
          <w:rFonts w:ascii="宋体" w:hAnsi="宋体" w:eastAsia="宋体" w:cs="Times New Roman"/>
          <w:sz w:val="24"/>
        </w:rPr>
        <w:cr/>
      </w:r>
      <w:r>
        <w:rPr>
          <w:rFonts w:hint="eastAsia" w:ascii="宋体" w:hAnsi="宋体" w:eastAsia="宋体" w:cs="Times New Roman"/>
          <w:b/>
          <w:sz w:val="24"/>
        </w:rPr>
        <w:t>案例：</w:t>
      </w:r>
      <w:r>
        <w:rPr>
          <w:rFonts w:hint="eastAsia" w:ascii="宋体" w:hAnsi="宋体" w:eastAsia="宋体" w:cs="Times New Roman"/>
          <w:sz w:val="24"/>
        </w:rPr>
        <w:t>某企业优秀焦点改善课题案例分享</w:t>
      </w:r>
      <w:r>
        <w:rPr>
          <w:rFonts w:ascii="宋体" w:hAnsi="宋体" w:eastAsia="宋体" w:cs="Times New Roman"/>
          <w:sz w:val="24"/>
        </w:rPr>
        <w:cr/>
      </w:r>
      <w:r>
        <w:rPr>
          <w:rFonts w:hint="eastAsia" w:ascii="宋体" w:hAnsi="宋体" w:eastAsia="宋体" w:cs="Times New Roman"/>
          <w:b/>
          <w:color w:val="C45911"/>
          <w:sz w:val="24"/>
          <w:szCs w:val="22"/>
        </w:rPr>
        <w:t>三、专业保全（计划保全）</w:t>
      </w:r>
      <w:r>
        <w:rPr>
          <w:rFonts w:ascii="宋体" w:hAnsi="宋体" w:eastAsia="宋体" w:cs="Times New Roman"/>
          <w:b/>
          <w:color w:val="C45911"/>
          <w:sz w:val="24"/>
          <w:szCs w:val="22"/>
        </w:rPr>
        <w:cr/>
      </w:r>
      <w:r>
        <w:rPr>
          <w:rFonts w:ascii="宋体" w:hAnsi="宋体" w:eastAsia="宋体" w:cs="Times New Roman"/>
          <w:sz w:val="24"/>
        </w:rPr>
        <w:t xml:space="preserve">1. </w:t>
      </w:r>
      <w:r>
        <w:rPr>
          <w:rFonts w:hint="eastAsia" w:ascii="宋体" w:hAnsi="宋体" w:eastAsia="宋体" w:cs="Times New Roman"/>
          <w:sz w:val="24"/>
        </w:rPr>
        <w:t>专业保全活动的概要及注意事项</w:t>
      </w:r>
      <w:r>
        <w:rPr>
          <w:rFonts w:ascii="宋体" w:hAnsi="宋体" w:eastAsia="宋体" w:cs="Times New Roman"/>
          <w:sz w:val="24"/>
        </w:rPr>
        <w:cr/>
      </w:r>
      <w:r>
        <w:rPr>
          <w:rFonts w:ascii="宋体" w:hAnsi="宋体" w:eastAsia="宋体" w:cs="Times New Roman"/>
          <w:sz w:val="24"/>
        </w:rPr>
        <w:t xml:space="preserve">2. </w:t>
      </w:r>
      <w:r>
        <w:rPr>
          <w:rFonts w:hint="eastAsia" w:ascii="宋体" w:hAnsi="宋体" w:eastAsia="宋体" w:cs="Times New Roman"/>
          <w:sz w:val="24"/>
        </w:rPr>
        <w:t>修改完善专业保全标准</w:t>
      </w:r>
      <w:r>
        <w:rPr>
          <w:rFonts w:ascii="宋体" w:hAnsi="宋体" w:eastAsia="宋体" w:cs="Times New Roman"/>
          <w:sz w:val="24"/>
        </w:rPr>
        <w:cr/>
      </w:r>
      <w:r>
        <w:rPr>
          <w:rFonts w:ascii="宋体" w:hAnsi="宋体" w:eastAsia="宋体" w:cs="Times New Roman"/>
          <w:sz w:val="24"/>
        </w:rPr>
        <w:t xml:space="preserve">3. </w:t>
      </w:r>
      <w:r>
        <w:rPr>
          <w:rFonts w:hint="eastAsia" w:ascii="宋体" w:hAnsi="宋体" w:eastAsia="宋体" w:cs="Times New Roman"/>
          <w:sz w:val="24"/>
        </w:rPr>
        <w:t>计划保全的基本框架和分类</w:t>
      </w:r>
      <w:r>
        <w:rPr>
          <w:rFonts w:ascii="宋体" w:hAnsi="宋体" w:eastAsia="宋体" w:cs="Times New Roman"/>
          <w:sz w:val="24"/>
        </w:rPr>
        <w:cr/>
      </w:r>
      <w:r>
        <w:rPr>
          <w:rFonts w:ascii="宋体" w:hAnsi="宋体" w:eastAsia="宋体" w:cs="Times New Roman"/>
          <w:sz w:val="24"/>
        </w:rPr>
        <w:t xml:space="preserve">4. </w:t>
      </w:r>
      <w:r>
        <w:rPr>
          <w:rFonts w:hint="eastAsia" w:ascii="宋体" w:hAnsi="宋体" w:eastAsia="宋体" w:cs="Times New Roman"/>
          <w:sz w:val="24"/>
        </w:rPr>
        <w:t>计划保全活动的推进程序</w:t>
      </w:r>
      <w:r>
        <w:rPr>
          <w:rFonts w:ascii="宋体" w:hAnsi="宋体" w:eastAsia="宋体" w:cs="Times New Roman"/>
          <w:sz w:val="24"/>
        </w:rPr>
        <w:cr/>
      </w:r>
      <w:r>
        <w:rPr>
          <w:rFonts w:hint="eastAsia" w:ascii="宋体" w:hAnsi="宋体" w:eastAsia="宋体" w:cs="Times New Roman"/>
          <w:b/>
          <w:sz w:val="24"/>
        </w:rPr>
        <w:t>专业保全的方法：</w:t>
      </w:r>
    </w:p>
    <w:p w14:paraId="19B854BA">
      <w:pPr>
        <w:spacing w:line="480" w:lineRule="exact"/>
        <w:rPr>
          <w:rFonts w:ascii="宋体" w:hAnsi="宋体" w:eastAsia="宋体" w:cs="Times New Roman"/>
          <w:sz w:val="24"/>
        </w:rPr>
      </w:pPr>
      <w:r>
        <w:rPr>
          <w:rFonts w:ascii="宋体" w:hAnsi="宋体" w:eastAsia="宋体" w:cs="Times New Roman"/>
          <w:sz w:val="24"/>
        </w:rPr>
        <w:t>1</w:t>
      </w:r>
      <w:r>
        <w:rPr>
          <w:rFonts w:hint="eastAsia" w:ascii="宋体" w:hAnsi="宋体" w:eastAsia="宋体" w:cs="Times New Roman"/>
          <w:sz w:val="24"/>
        </w:rPr>
        <w:t>. 专业保全的目的</w:t>
      </w:r>
      <w:r>
        <w:rPr>
          <w:rFonts w:hint="eastAsia" w:ascii="宋体" w:hAnsi="宋体" w:eastAsia="宋体" w:cs="Times New Roman"/>
          <w:sz w:val="24"/>
        </w:rPr>
        <w:cr/>
      </w:r>
      <w:r>
        <w:rPr>
          <w:rFonts w:ascii="宋体" w:hAnsi="宋体" w:eastAsia="宋体" w:cs="Times New Roman"/>
          <w:sz w:val="24"/>
        </w:rPr>
        <w:t>2</w:t>
      </w:r>
      <w:r>
        <w:rPr>
          <w:rFonts w:hint="eastAsia" w:ascii="宋体" w:hAnsi="宋体" w:eastAsia="宋体" w:cs="Times New Roman"/>
          <w:sz w:val="24"/>
        </w:rPr>
        <w:t>. 保全方式和分工</w:t>
      </w:r>
      <w:r>
        <w:rPr>
          <w:rFonts w:hint="eastAsia" w:ascii="宋体" w:hAnsi="宋体" w:eastAsia="宋体" w:cs="Times New Roman"/>
          <w:sz w:val="24"/>
        </w:rPr>
        <w:cr/>
      </w:r>
      <w:r>
        <w:rPr>
          <w:rFonts w:ascii="宋体" w:hAnsi="宋体" w:eastAsia="宋体" w:cs="Times New Roman"/>
          <w:sz w:val="24"/>
        </w:rPr>
        <w:t>3</w:t>
      </w:r>
      <w:r>
        <w:rPr>
          <w:rFonts w:hint="eastAsia" w:ascii="宋体" w:hAnsi="宋体" w:eastAsia="宋体" w:cs="Times New Roman"/>
          <w:sz w:val="24"/>
        </w:rPr>
        <w:t>. 专业保全体系</w:t>
      </w:r>
      <w:r>
        <w:rPr>
          <w:rFonts w:hint="eastAsia" w:ascii="宋体" w:hAnsi="宋体" w:eastAsia="宋体" w:cs="Times New Roman"/>
          <w:sz w:val="24"/>
        </w:rPr>
        <w:cr/>
      </w:r>
      <w:r>
        <w:rPr>
          <w:rFonts w:ascii="宋体" w:hAnsi="宋体" w:eastAsia="宋体" w:cs="Times New Roman"/>
          <w:sz w:val="24"/>
        </w:rPr>
        <w:t>4</w:t>
      </w:r>
      <w:r>
        <w:rPr>
          <w:rFonts w:hint="eastAsia" w:ascii="宋体" w:hAnsi="宋体" w:eastAsia="宋体" w:cs="Times New Roman"/>
          <w:sz w:val="24"/>
        </w:rPr>
        <w:t>. 专业保全7阶段活动</w:t>
      </w:r>
      <w:r>
        <w:rPr>
          <w:rFonts w:hint="eastAsia" w:ascii="宋体" w:hAnsi="宋体" w:eastAsia="宋体" w:cs="Times New Roman"/>
          <w:sz w:val="24"/>
        </w:rPr>
        <w:cr/>
      </w:r>
      <w:r>
        <w:rPr>
          <w:rFonts w:ascii="宋体" w:hAnsi="宋体" w:eastAsia="宋体" w:cs="Times New Roman"/>
          <w:sz w:val="24"/>
        </w:rPr>
        <w:t>5</w:t>
      </w:r>
      <w:r>
        <w:rPr>
          <w:rFonts w:hint="eastAsia" w:ascii="宋体" w:hAnsi="宋体" w:eastAsia="宋体" w:cs="Times New Roman"/>
          <w:sz w:val="24"/>
        </w:rPr>
        <w:t xml:space="preserve">. 改良保全和预知保全 </w:t>
      </w:r>
      <w:r>
        <w:rPr>
          <w:rFonts w:ascii="宋体" w:hAnsi="宋体" w:eastAsia="宋体" w:cs="Times New Roman"/>
          <w:sz w:val="24"/>
        </w:rPr>
        <w:cr/>
      </w:r>
      <w:r>
        <w:rPr>
          <w:rFonts w:hint="eastAsia" w:ascii="宋体" w:hAnsi="宋体" w:eastAsia="宋体" w:cs="Times New Roman"/>
          <w:b/>
          <w:bCs/>
          <w:sz w:val="24"/>
        </w:rPr>
        <w:t>工具：</w:t>
      </w:r>
      <w:r>
        <w:rPr>
          <w:rFonts w:hint="eastAsia" w:ascii="宋体" w:hAnsi="宋体" w:eastAsia="宋体" w:cs="Times New Roman"/>
          <w:sz w:val="24"/>
        </w:rPr>
        <w:t>建立保养部门的计划保养制度</w:t>
      </w:r>
    </w:p>
    <w:p w14:paraId="55902959">
      <w:pPr>
        <w:spacing w:line="480" w:lineRule="exact"/>
        <w:rPr>
          <w:rFonts w:ascii="宋体" w:hAnsi="宋体" w:eastAsia="宋体" w:cs="Times New Roman"/>
          <w:sz w:val="24"/>
        </w:rPr>
      </w:pPr>
      <w:r>
        <w:rPr>
          <w:rFonts w:hint="eastAsia" w:ascii="宋体" w:hAnsi="宋体" w:eastAsia="宋体" w:cs="Times New Roman"/>
          <w:b/>
          <w:bCs/>
          <w:sz w:val="24"/>
        </w:rPr>
        <w:t>案例分析：</w:t>
      </w:r>
      <w:r>
        <w:rPr>
          <w:rFonts w:hint="eastAsia" w:ascii="宋体" w:hAnsi="宋体" w:eastAsia="宋体" w:cs="Times New Roman"/>
          <w:sz w:val="24"/>
        </w:rPr>
        <w:t>TPM活动常见的异常现象</w:t>
      </w:r>
    </w:p>
    <w:p w14:paraId="001C7F17">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四、初期管理</w:t>
      </w:r>
    </w:p>
    <w:p w14:paraId="67BBD867">
      <w:pPr>
        <w:spacing w:line="480" w:lineRule="exact"/>
        <w:rPr>
          <w:rFonts w:ascii="宋体" w:hAnsi="宋体" w:eastAsia="宋体" w:cs="微软雅黑"/>
          <w:color w:val="000000" w:themeColor="text1"/>
          <w:sz w:val="24"/>
        </w:rPr>
      </w:pPr>
      <w:r>
        <w:rPr>
          <w:rFonts w:ascii="宋体" w:hAnsi="宋体" w:eastAsia="宋体" w:cs="Times New Roman"/>
          <w:sz w:val="24"/>
        </w:rPr>
        <w:t xml:space="preserve">1. </w:t>
      </w:r>
      <w:r>
        <w:rPr>
          <w:rFonts w:hint="eastAsia" w:ascii="宋体" w:hAnsi="宋体" w:eastAsia="宋体" w:cs="Times New Roman"/>
          <w:sz w:val="24"/>
        </w:rPr>
        <w:t>认识“设备的生命周期”</w:t>
      </w:r>
      <w:r>
        <w:rPr>
          <w:rFonts w:ascii="宋体" w:hAnsi="宋体" w:eastAsia="宋体" w:cs="Times New Roman"/>
          <w:sz w:val="24"/>
        </w:rPr>
        <w:cr/>
      </w:r>
      <w:r>
        <w:rPr>
          <w:rFonts w:ascii="宋体" w:hAnsi="宋体" w:eastAsia="宋体" w:cs="Times New Roman"/>
          <w:sz w:val="24"/>
        </w:rPr>
        <w:t xml:space="preserve">2. </w:t>
      </w:r>
      <w:r>
        <w:rPr>
          <w:rFonts w:hint="eastAsia" w:ascii="宋体" w:hAnsi="宋体" w:eastAsia="宋体" w:cs="Times New Roman"/>
          <w:sz w:val="24"/>
        </w:rPr>
        <w:t>设备故障浴盆</w:t>
      </w:r>
      <w:r>
        <w:rPr>
          <w:rFonts w:ascii="宋体" w:hAnsi="宋体" w:eastAsia="宋体" w:cs="Times New Roman"/>
          <w:sz w:val="24"/>
        </w:rPr>
        <w:t xml:space="preserve">Bath Tub </w:t>
      </w:r>
      <w:r>
        <w:rPr>
          <w:rFonts w:hint="eastAsia" w:ascii="宋体" w:hAnsi="宋体" w:eastAsia="宋体" w:cs="Times New Roman"/>
          <w:sz w:val="24"/>
        </w:rPr>
        <w:t>曲线</w:t>
      </w:r>
      <w:r>
        <w:rPr>
          <w:rFonts w:ascii="宋体" w:hAnsi="宋体" w:eastAsia="宋体" w:cs="Times New Roman"/>
          <w:sz w:val="24"/>
        </w:rPr>
        <w:cr/>
      </w:r>
      <w:r>
        <w:rPr>
          <w:rFonts w:ascii="宋体" w:hAnsi="宋体" w:eastAsia="宋体" w:cs="Times New Roman"/>
          <w:sz w:val="24"/>
        </w:rPr>
        <w:t xml:space="preserve">3. </w:t>
      </w:r>
      <w:r>
        <w:rPr>
          <w:rFonts w:hint="eastAsia" w:ascii="宋体" w:hAnsi="宋体" w:eastAsia="宋体" w:cs="Times New Roman"/>
          <w:sz w:val="24"/>
        </w:rPr>
        <w:t>初期管理的主要措施—鱼骨图分析</w:t>
      </w:r>
      <w:r>
        <w:rPr>
          <w:rFonts w:ascii="宋体" w:hAnsi="宋体" w:eastAsia="宋体" w:cs="Times New Roman"/>
          <w:sz w:val="24"/>
        </w:rPr>
        <w:cr/>
      </w:r>
      <w:r>
        <w:rPr>
          <w:rFonts w:hint="eastAsia" w:ascii="宋体" w:hAnsi="宋体" w:eastAsia="宋体" w:cs="Times New Roman"/>
          <w:b/>
          <w:color w:val="C45911"/>
          <w:sz w:val="24"/>
          <w:szCs w:val="22"/>
        </w:rPr>
        <w:t>五、质量改善</w:t>
      </w:r>
      <w:r>
        <w:rPr>
          <w:rFonts w:ascii="宋体" w:hAnsi="宋体" w:eastAsia="宋体" w:cs="Times New Roman"/>
          <w:b/>
          <w:color w:val="C45911"/>
          <w:sz w:val="24"/>
          <w:szCs w:val="22"/>
        </w:rPr>
        <w:cr/>
      </w:r>
      <w:r>
        <w:rPr>
          <w:rFonts w:ascii="宋体" w:hAnsi="宋体" w:eastAsia="宋体" w:cs="Times New Roman"/>
          <w:sz w:val="24"/>
        </w:rPr>
        <w:t>1. 5Why</w:t>
      </w:r>
      <w:r>
        <w:rPr>
          <w:rFonts w:hint="eastAsia" w:ascii="宋体" w:hAnsi="宋体" w:eastAsia="宋体" w:cs="Times New Roman"/>
          <w:sz w:val="24"/>
        </w:rPr>
        <w:t>分析</w:t>
      </w:r>
      <w:r>
        <w:rPr>
          <w:rFonts w:ascii="宋体" w:hAnsi="宋体" w:eastAsia="宋体" w:cs="Times New Roman"/>
          <w:sz w:val="24"/>
        </w:rPr>
        <w:cr/>
      </w:r>
      <w:r>
        <w:rPr>
          <w:rFonts w:ascii="宋体" w:hAnsi="宋体" w:eastAsia="宋体" w:cs="Times New Roman"/>
          <w:sz w:val="24"/>
        </w:rPr>
        <w:t>2. 5M1E</w:t>
      </w:r>
      <w:r>
        <w:rPr>
          <w:rFonts w:hint="eastAsia" w:ascii="宋体" w:hAnsi="宋体" w:eastAsia="宋体" w:cs="Times New Roman"/>
          <w:sz w:val="24"/>
        </w:rPr>
        <w:t>管理</w:t>
      </w:r>
      <w:r>
        <w:rPr>
          <w:rFonts w:ascii="宋体" w:hAnsi="宋体" w:eastAsia="宋体" w:cs="Times New Roman"/>
          <w:sz w:val="24"/>
        </w:rPr>
        <w:cr/>
      </w:r>
      <w:r>
        <w:rPr>
          <w:rFonts w:ascii="宋体" w:hAnsi="宋体" w:eastAsia="宋体" w:cs="Times New Roman"/>
          <w:sz w:val="24"/>
        </w:rPr>
        <w:t xml:space="preserve">3. </w:t>
      </w:r>
      <w:r>
        <w:rPr>
          <w:rFonts w:hint="eastAsia" w:ascii="宋体" w:hAnsi="宋体" w:eastAsia="宋体" w:cs="Times New Roman"/>
          <w:sz w:val="24"/>
        </w:rPr>
        <w:t>防错防呆法</w:t>
      </w:r>
      <w:r>
        <w:rPr>
          <w:rFonts w:ascii="宋体" w:hAnsi="宋体" w:eastAsia="宋体" w:cs="Times New Roman"/>
          <w:sz w:val="24"/>
        </w:rPr>
        <w:cr/>
      </w:r>
      <w:r>
        <w:rPr>
          <w:rFonts w:ascii="宋体" w:hAnsi="宋体" w:eastAsia="宋体" w:cs="Times New Roman"/>
          <w:sz w:val="24"/>
        </w:rPr>
        <w:t>4. FMEA</w:t>
      </w:r>
      <w:r>
        <w:rPr>
          <w:rFonts w:hint="eastAsia" w:ascii="宋体" w:hAnsi="宋体" w:eastAsia="宋体" w:cs="Times New Roman"/>
          <w:sz w:val="24"/>
        </w:rPr>
        <w:t>潜在失效模式和影响分析</w:t>
      </w:r>
      <w:r>
        <w:rPr>
          <w:rFonts w:ascii="宋体" w:hAnsi="宋体" w:eastAsia="宋体" w:cs="Times New Roman"/>
          <w:sz w:val="24"/>
        </w:rPr>
        <w:cr/>
      </w:r>
      <w:r>
        <w:rPr>
          <w:rFonts w:hint="eastAsia" w:ascii="宋体" w:hAnsi="宋体" w:eastAsia="宋体" w:cs="Times New Roman"/>
          <w:b/>
          <w:color w:val="C45911"/>
          <w:sz w:val="24"/>
          <w:szCs w:val="22"/>
        </w:rPr>
        <w:t>六、环境安全</w:t>
      </w:r>
      <w:r>
        <w:rPr>
          <w:rFonts w:ascii="宋体" w:hAnsi="宋体" w:eastAsia="宋体" w:cs="Times New Roman"/>
          <w:b/>
          <w:color w:val="C45911"/>
          <w:sz w:val="24"/>
          <w:szCs w:val="22"/>
        </w:rPr>
        <w:cr/>
      </w:r>
      <w:r>
        <w:rPr>
          <w:rFonts w:ascii="宋体" w:hAnsi="宋体" w:eastAsia="宋体" w:cs="Times New Roman"/>
          <w:sz w:val="24"/>
        </w:rPr>
        <w:t xml:space="preserve">1. </w:t>
      </w:r>
      <w:r>
        <w:rPr>
          <w:rFonts w:hint="eastAsia" w:ascii="宋体" w:hAnsi="宋体" w:eastAsia="宋体" w:cs="Times New Roman"/>
          <w:sz w:val="24"/>
        </w:rPr>
        <w:t>安全的定义</w:t>
      </w:r>
      <w:r>
        <w:rPr>
          <w:rFonts w:ascii="宋体" w:hAnsi="宋体" w:eastAsia="宋体" w:cs="Times New Roman"/>
          <w:sz w:val="24"/>
        </w:rPr>
        <w:cr/>
      </w:r>
      <w:r>
        <w:rPr>
          <w:rFonts w:ascii="宋体" w:hAnsi="宋体" w:eastAsia="宋体" w:cs="Times New Roman"/>
          <w:sz w:val="24"/>
        </w:rPr>
        <w:t xml:space="preserve">2. </w:t>
      </w:r>
      <w:r>
        <w:rPr>
          <w:rFonts w:hint="eastAsia" w:ascii="宋体" w:hAnsi="宋体" w:eastAsia="宋体" w:cs="Times New Roman"/>
          <w:sz w:val="24"/>
        </w:rPr>
        <w:t>环境隐患管理</w:t>
      </w:r>
      <w:r>
        <w:rPr>
          <w:rFonts w:ascii="宋体" w:hAnsi="宋体" w:eastAsia="宋体" w:cs="Times New Roman"/>
          <w:sz w:val="24"/>
        </w:rPr>
        <w:cr/>
      </w:r>
      <w:r>
        <w:rPr>
          <w:rFonts w:ascii="宋体" w:hAnsi="宋体" w:eastAsia="宋体" w:cs="Times New Roman"/>
          <w:sz w:val="24"/>
        </w:rPr>
        <w:t xml:space="preserve">3. </w:t>
      </w:r>
      <w:r>
        <w:rPr>
          <w:rFonts w:hint="eastAsia" w:ascii="宋体" w:hAnsi="宋体" w:eastAsia="宋体" w:cs="Times New Roman"/>
          <w:sz w:val="24"/>
        </w:rPr>
        <w:t>设备安全管理</w:t>
      </w:r>
      <w:r>
        <w:rPr>
          <w:rFonts w:ascii="宋体" w:hAnsi="宋体" w:eastAsia="宋体" w:cs="Times New Roman"/>
          <w:sz w:val="24"/>
        </w:rPr>
        <w:cr/>
      </w:r>
      <w:r>
        <w:rPr>
          <w:rFonts w:hint="eastAsia" w:ascii="宋体" w:hAnsi="宋体" w:eastAsia="宋体" w:cs="Times New Roman"/>
          <w:b/>
          <w:color w:val="C45911"/>
          <w:sz w:val="24"/>
          <w:szCs w:val="22"/>
        </w:rPr>
        <w:t>七、事务改善</w:t>
      </w:r>
      <w:r>
        <w:rPr>
          <w:rFonts w:ascii="宋体" w:hAnsi="宋体" w:eastAsia="宋体" w:cs="Times New Roman"/>
          <w:b/>
          <w:color w:val="C45911"/>
          <w:sz w:val="24"/>
          <w:szCs w:val="22"/>
        </w:rPr>
        <w:cr/>
      </w:r>
      <w:r>
        <w:rPr>
          <w:rFonts w:ascii="宋体" w:hAnsi="宋体" w:eastAsia="宋体" w:cs="Times New Roman"/>
          <w:sz w:val="24"/>
        </w:rPr>
        <w:t xml:space="preserve">1. </w:t>
      </w:r>
      <w:r>
        <w:rPr>
          <w:rFonts w:hint="eastAsia" w:ascii="宋体" w:hAnsi="宋体" w:eastAsia="宋体" w:cs="Times New Roman"/>
          <w:sz w:val="24"/>
        </w:rPr>
        <w:t>异常管理</w:t>
      </w:r>
      <w:r>
        <w:rPr>
          <w:rFonts w:ascii="宋体" w:hAnsi="宋体" w:eastAsia="宋体" w:cs="Times New Roman"/>
          <w:sz w:val="24"/>
        </w:rPr>
        <w:cr/>
      </w:r>
      <w:r>
        <w:rPr>
          <w:rFonts w:ascii="宋体" w:hAnsi="宋体" w:eastAsia="宋体" w:cs="Times New Roman"/>
          <w:sz w:val="24"/>
        </w:rPr>
        <w:t xml:space="preserve">2. </w:t>
      </w:r>
      <w:r>
        <w:rPr>
          <w:rFonts w:hint="eastAsia" w:ascii="宋体" w:hAnsi="宋体" w:eastAsia="宋体" w:cs="Times New Roman"/>
          <w:sz w:val="24"/>
        </w:rPr>
        <w:t>课题改善</w:t>
      </w:r>
      <w:r>
        <w:rPr>
          <w:rFonts w:ascii="宋体" w:hAnsi="宋体" w:eastAsia="宋体" w:cs="Times New Roman"/>
          <w:sz w:val="24"/>
        </w:rPr>
        <w:cr/>
      </w:r>
      <w:r>
        <w:rPr>
          <w:rFonts w:hint="eastAsia" w:ascii="宋体" w:hAnsi="宋体" w:eastAsia="宋体" w:cs="Times New Roman"/>
          <w:b/>
          <w:color w:val="C45911"/>
          <w:sz w:val="24"/>
          <w:szCs w:val="22"/>
        </w:rPr>
        <w:t>八、人才培养</w:t>
      </w:r>
      <w:r>
        <w:rPr>
          <w:rFonts w:ascii="宋体" w:hAnsi="宋体" w:eastAsia="宋体" w:cs="Times New Roman"/>
          <w:b/>
          <w:color w:val="C45911"/>
          <w:sz w:val="24"/>
          <w:szCs w:val="22"/>
        </w:rPr>
        <w:cr/>
      </w:r>
      <w:r>
        <w:rPr>
          <w:rFonts w:ascii="宋体" w:hAnsi="宋体" w:eastAsia="宋体" w:cs="Times New Roman"/>
          <w:sz w:val="24"/>
        </w:rPr>
        <w:t>1. OPL (</w:t>
      </w:r>
      <w:r>
        <w:rPr>
          <w:rFonts w:hint="eastAsia" w:ascii="宋体" w:hAnsi="宋体" w:eastAsia="宋体" w:cs="Times New Roman"/>
          <w:sz w:val="24"/>
        </w:rPr>
        <w:t>点滴教育</w:t>
      </w:r>
      <w:r>
        <w:rPr>
          <w:rFonts w:ascii="宋体" w:hAnsi="宋体" w:eastAsia="宋体" w:cs="Times New Roman"/>
          <w:sz w:val="24"/>
        </w:rPr>
        <w:t>)</w:t>
      </w:r>
      <w:r>
        <w:rPr>
          <w:rFonts w:ascii="宋体" w:hAnsi="宋体" w:eastAsia="宋体" w:cs="Times New Roman"/>
          <w:sz w:val="24"/>
        </w:rPr>
        <w:cr/>
      </w:r>
      <w:r>
        <w:rPr>
          <w:rFonts w:ascii="宋体" w:hAnsi="宋体" w:eastAsia="宋体" w:cs="Times New Roman"/>
          <w:sz w:val="24"/>
        </w:rPr>
        <w:t>2. OJT</w:t>
      </w:r>
      <w:r>
        <w:rPr>
          <w:rFonts w:hint="eastAsia" w:ascii="宋体" w:hAnsi="宋体" w:eastAsia="宋体" w:cs="Times New Roman"/>
          <w:sz w:val="24"/>
        </w:rPr>
        <w:t>在职训练</w:t>
      </w:r>
      <w:r>
        <w:rPr>
          <w:rFonts w:ascii="宋体" w:hAnsi="宋体" w:eastAsia="宋体" w:cs="Times New Roman"/>
          <w:sz w:val="24"/>
        </w:rPr>
        <w:cr/>
      </w:r>
      <w:r>
        <w:rPr>
          <w:rFonts w:hint="eastAsia" w:ascii="宋体" w:hAnsi="宋体" w:eastAsia="宋体" w:cs="微软雅黑"/>
          <w:b/>
          <w:color w:val="000000" w:themeColor="text1"/>
          <w:sz w:val="24"/>
        </w:rPr>
        <w:t>重点：</w:t>
      </w:r>
      <w:r>
        <w:rPr>
          <w:rFonts w:hint="eastAsia" w:ascii="宋体" w:hAnsi="宋体" w:eastAsia="宋体" w:cs="微软雅黑"/>
          <w:color w:val="000000" w:themeColor="text1"/>
          <w:sz w:val="24"/>
        </w:rPr>
        <w:t>设备备品备件管理</w:t>
      </w:r>
    </w:p>
    <w:p w14:paraId="246F6C1D">
      <w:pPr>
        <w:spacing w:line="480" w:lineRule="exact"/>
        <w:rPr>
          <w:rFonts w:ascii="宋体" w:hAnsi="宋体" w:eastAsia="宋体" w:cs="Times New Roman"/>
          <w:sz w:val="24"/>
        </w:rPr>
      </w:pPr>
      <w:r>
        <w:rPr>
          <w:rFonts w:hint="eastAsia" w:ascii="宋体" w:hAnsi="宋体" w:eastAsia="宋体" w:cs="Times New Roman"/>
          <w:sz w:val="24"/>
        </w:rPr>
        <w:t>1）备件储备品种的原则</w:t>
      </w:r>
      <w:r>
        <w:rPr>
          <w:rFonts w:hint="eastAsia" w:ascii="宋体" w:hAnsi="宋体" w:eastAsia="宋体" w:cs="Times New Roman"/>
          <w:sz w:val="24"/>
        </w:rPr>
        <w:cr/>
      </w:r>
      <w:r>
        <w:rPr>
          <w:rFonts w:hint="eastAsia" w:ascii="宋体" w:hAnsi="宋体" w:eastAsia="宋体" w:cs="Times New Roman"/>
          <w:sz w:val="24"/>
        </w:rPr>
        <w:t>2）备件清单3A原则的分类</w:t>
      </w:r>
      <w:r>
        <w:rPr>
          <w:rFonts w:hint="eastAsia" w:ascii="宋体" w:hAnsi="宋体" w:eastAsia="宋体" w:cs="Times New Roman"/>
          <w:sz w:val="24"/>
        </w:rPr>
        <w:cr/>
      </w:r>
      <w:r>
        <w:rPr>
          <w:rFonts w:hint="eastAsia" w:ascii="宋体" w:hAnsi="宋体" w:eastAsia="宋体" w:cs="Times New Roman"/>
          <w:sz w:val="24"/>
        </w:rPr>
        <w:t>3）备件库存与定额管理</w:t>
      </w:r>
      <w:r>
        <w:rPr>
          <w:rFonts w:hint="eastAsia" w:ascii="宋体" w:hAnsi="宋体" w:eastAsia="宋体" w:cs="Times New Roman"/>
          <w:sz w:val="24"/>
        </w:rPr>
        <w:cr/>
      </w:r>
      <w:r>
        <w:rPr>
          <w:rFonts w:hint="eastAsia" w:ascii="宋体" w:hAnsi="宋体" w:eastAsia="宋体" w:cs="Times New Roman"/>
          <w:sz w:val="24"/>
        </w:rPr>
        <w:t>4）备件库房现场6S管理</w:t>
      </w:r>
    </w:p>
    <w:p w14:paraId="45D66766">
      <w:pPr>
        <w:spacing w:line="480" w:lineRule="exact"/>
        <w:rPr>
          <w:rFonts w:ascii="宋体" w:hAnsi="宋体" w:eastAsia="宋体" w:cs="微软雅黑"/>
          <w:b/>
          <w:color w:val="1F4E79"/>
          <w:sz w:val="24"/>
        </w:rPr>
      </w:pPr>
    </w:p>
    <w:p w14:paraId="5C3BDEB9">
      <w:pPr>
        <w:spacing w:line="480" w:lineRule="exact"/>
        <w:rPr>
          <w:rFonts w:ascii="宋体" w:hAnsi="宋体" w:eastAsia="宋体" w:cs="微软雅黑"/>
          <w:b/>
          <w:color w:val="1F4E79"/>
          <w:sz w:val="24"/>
        </w:rPr>
      </w:pPr>
      <w:r>
        <w:rPr>
          <w:rFonts w:hint="eastAsia" w:ascii="宋体" w:hAnsi="宋体" w:eastAsia="宋体" w:cs="微软雅黑"/>
          <w:b/>
          <w:color w:val="1F4E79"/>
          <w:sz w:val="24"/>
        </w:rPr>
        <w:t>第四讲：设备全生命周期管理</w:t>
      </w:r>
    </w:p>
    <w:p w14:paraId="097B38BA">
      <w:pPr>
        <w:spacing w:line="480" w:lineRule="exact"/>
        <w:rPr>
          <w:rFonts w:ascii="宋体" w:hAnsi="宋体" w:eastAsia="宋体" w:cs="Times New Roman"/>
          <w:sz w:val="24"/>
          <w:szCs w:val="22"/>
        </w:rPr>
      </w:pPr>
      <w:r>
        <w:rPr>
          <w:rFonts w:hint="eastAsia" w:ascii="宋体" w:hAnsi="宋体" w:eastAsia="宋体" w:cs="Times New Roman"/>
          <w:b/>
          <w:color w:val="C45911"/>
          <w:sz w:val="24"/>
          <w:szCs w:val="22"/>
        </w:rPr>
        <w:t>一、设备设计预防管理</w:t>
      </w:r>
      <w:r>
        <w:rPr>
          <w:rFonts w:hint="eastAsia" w:ascii="宋体" w:hAnsi="宋体" w:eastAsia="宋体" w:cs="Times New Roman"/>
          <w:b/>
          <w:color w:val="C45911"/>
          <w:sz w:val="24"/>
          <w:szCs w:val="22"/>
        </w:rPr>
        <w:cr/>
      </w:r>
      <w:r>
        <w:rPr>
          <w:rFonts w:hint="eastAsia" w:ascii="宋体" w:hAnsi="宋体" w:eastAsia="宋体" w:cs="Times New Roman"/>
          <w:sz w:val="24"/>
          <w:szCs w:val="22"/>
        </w:rPr>
        <w:t>1. 防错防呆设计</w:t>
      </w:r>
      <w:r>
        <w:rPr>
          <w:rFonts w:hint="eastAsia" w:ascii="宋体" w:hAnsi="宋体" w:eastAsia="宋体" w:cs="Times New Roman"/>
          <w:sz w:val="24"/>
          <w:szCs w:val="22"/>
        </w:rPr>
        <w:cr/>
      </w:r>
      <w:r>
        <w:rPr>
          <w:rFonts w:hint="eastAsia" w:ascii="宋体" w:hAnsi="宋体" w:eastAsia="宋体" w:cs="Times New Roman"/>
          <w:sz w:val="24"/>
          <w:szCs w:val="22"/>
        </w:rPr>
        <w:t>2. 4M1E设计考虑（事前、事中、事后）</w:t>
      </w:r>
      <w:r>
        <w:rPr>
          <w:rFonts w:hint="eastAsia" w:ascii="宋体" w:hAnsi="宋体" w:eastAsia="宋体" w:cs="Times New Roman"/>
          <w:sz w:val="24"/>
          <w:szCs w:val="22"/>
        </w:rPr>
        <w:cr/>
      </w:r>
      <w:r>
        <w:rPr>
          <w:rFonts w:hint="eastAsia" w:ascii="宋体" w:hAnsi="宋体" w:eastAsia="宋体" w:cs="Times New Roman"/>
          <w:b/>
          <w:color w:val="C45911"/>
          <w:sz w:val="24"/>
          <w:szCs w:val="22"/>
        </w:rPr>
        <w:t>二、初期管理</w:t>
      </w:r>
      <w:r>
        <w:rPr>
          <w:rFonts w:hint="eastAsia" w:ascii="宋体" w:hAnsi="宋体" w:eastAsia="宋体" w:cs="Times New Roman"/>
          <w:b/>
          <w:color w:val="C45911"/>
          <w:sz w:val="24"/>
          <w:szCs w:val="22"/>
        </w:rPr>
        <w:cr/>
      </w:r>
      <w:r>
        <w:rPr>
          <w:rFonts w:hint="eastAsia" w:ascii="宋体" w:hAnsi="宋体" w:eastAsia="宋体" w:cs="Times New Roman"/>
          <w:sz w:val="24"/>
          <w:szCs w:val="22"/>
        </w:rPr>
        <w:t>1. 认识“设备的生命周期”分布</w:t>
      </w:r>
      <w:r>
        <w:rPr>
          <w:rFonts w:hint="eastAsia" w:ascii="宋体" w:hAnsi="宋体" w:eastAsia="宋体" w:cs="Times New Roman"/>
          <w:sz w:val="24"/>
          <w:szCs w:val="22"/>
        </w:rPr>
        <w:cr/>
      </w:r>
      <w:r>
        <w:rPr>
          <w:rFonts w:hint="eastAsia" w:ascii="宋体" w:hAnsi="宋体" w:eastAsia="宋体" w:cs="Times New Roman"/>
          <w:sz w:val="24"/>
          <w:szCs w:val="22"/>
        </w:rPr>
        <w:t>2. 设备故障曲线</w:t>
      </w:r>
      <w:r>
        <w:rPr>
          <w:rFonts w:hint="eastAsia" w:ascii="宋体" w:hAnsi="宋体" w:eastAsia="宋体" w:cs="Times New Roman"/>
          <w:sz w:val="24"/>
          <w:szCs w:val="22"/>
        </w:rPr>
        <w:cr/>
      </w:r>
      <w:r>
        <w:rPr>
          <w:rFonts w:hint="eastAsia" w:ascii="宋体" w:hAnsi="宋体" w:eastAsia="宋体" w:cs="Times New Roman"/>
          <w:sz w:val="24"/>
          <w:szCs w:val="22"/>
        </w:rPr>
        <w:t>3. 初期管理的主要措施—鱼骨图分析</w:t>
      </w:r>
      <w:r>
        <w:rPr>
          <w:rFonts w:hint="eastAsia" w:ascii="宋体" w:hAnsi="宋体" w:eastAsia="宋体" w:cs="Times New Roman"/>
          <w:sz w:val="24"/>
          <w:szCs w:val="22"/>
        </w:rPr>
        <w:cr/>
      </w:r>
      <w:r>
        <w:rPr>
          <w:rFonts w:hint="eastAsia" w:ascii="宋体" w:hAnsi="宋体" w:eastAsia="宋体" w:cs="Times New Roman"/>
          <w:b/>
          <w:color w:val="C45911"/>
          <w:sz w:val="24"/>
          <w:szCs w:val="22"/>
        </w:rPr>
        <w:t>三、预防性检修</w:t>
      </w:r>
      <w:r>
        <w:rPr>
          <w:rFonts w:hint="eastAsia" w:ascii="宋体" w:hAnsi="宋体" w:eastAsia="宋体" w:cs="Times New Roman"/>
          <w:b/>
          <w:color w:val="C45911"/>
          <w:sz w:val="24"/>
          <w:szCs w:val="22"/>
        </w:rPr>
        <w:cr/>
      </w:r>
      <w:r>
        <w:rPr>
          <w:rFonts w:hint="eastAsia" w:ascii="宋体" w:hAnsi="宋体" w:eastAsia="宋体" w:cs="Times New Roman"/>
          <w:sz w:val="24"/>
          <w:szCs w:val="22"/>
        </w:rPr>
        <w:t>1. 检修的主要变异模式</w:t>
      </w:r>
      <w:r>
        <w:rPr>
          <w:rFonts w:hint="eastAsia" w:ascii="宋体" w:hAnsi="宋体" w:eastAsia="宋体" w:cs="Times New Roman"/>
          <w:sz w:val="24"/>
          <w:szCs w:val="22"/>
        </w:rPr>
        <w:cr/>
      </w:r>
      <w:r>
        <w:rPr>
          <w:rFonts w:hint="eastAsia" w:ascii="宋体" w:hAnsi="宋体" w:eastAsia="宋体" w:cs="Times New Roman"/>
          <w:sz w:val="24"/>
          <w:szCs w:val="22"/>
        </w:rPr>
        <w:t>2. 常见状态监测技术手段</w:t>
      </w:r>
      <w:r>
        <w:rPr>
          <w:rFonts w:hint="eastAsia" w:ascii="宋体" w:hAnsi="宋体" w:eastAsia="宋体" w:cs="Times New Roman"/>
          <w:sz w:val="24"/>
          <w:szCs w:val="22"/>
        </w:rPr>
        <w:cr/>
      </w:r>
      <w:r>
        <w:rPr>
          <w:rFonts w:hint="eastAsia" w:ascii="宋体" w:hAnsi="宋体" w:eastAsia="宋体" w:cs="Times New Roman"/>
          <w:b/>
          <w:color w:val="C45911"/>
          <w:sz w:val="24"/>
          <w:szCs w:val="22"/>
        </w:rPr>
        <w:t>四、设备状态管理</w:t>
      </w:r>
      <w:r>
        <w:rPr>
          <w:rFonts w:hint="eastAsia" w:ascii="宋体" w:hAnsi="宋体" w:eastAsia="宋体" w:cs="Times New Roman"/>
          <w:b/>
          <w:color w:val="C45911"/>
          <w:sz w:val="24"/>
          <w:szCs w:val="22"/>
        </w:rPr>
        <w:cr/>
      </w:r>
      <w:r>
        <w:rPr>
          <w:rFonts w:hint="eastAsia" w:ascii="宋体" w:hAnsi="宋体" w:eastAsia="宋体" w:cs="Times New Roman"/>
          <w:sz w:val="24"/>
          <w:szCs w:val="22"/>
        </w:rPr>
        <w:t>1. 设备故障风险评价</w:t>
      </w:r>
      <w:r>
        <w:rPr>
          <w:rFonts w:hint="eastAsia" w:ascii="宋体" w:hAnsi="宋体" w:eastAsia="宋体" w:cs="Times New Roman"/>
          <w:sz w:val="24"/>
          <w:szCs w:val="22"/>
        </w:rPr>
        <w:cr/>
      </w:r>
      <w:r>
        <w:rPr>
          <w:rFonts w:hint="eastAsia" w:ascii="宋体" w:hAnsi="宋体" w:eastAsia="宋体" w:cs="Times New Roman"/>
          <w:sz w:val="24"/>
          <w:szCs w:val="22"/>
        </w:rPr>
        <w:t>2. 状态诊断流程</w:t>
      </w:r>
      <w:r>
        <w:rPr>
          <w:rFonts w:hint="eastAsia" w:ascii="宋体" w:hAnsi="宋体" w:eastAsia="宋体" w:cs="Times New Roman"/>
          <w:sz w:val="24"/>
          <w:szCs w:val="22"/>
        </w:rPr>
        <w:cr/>
      </w:r>
      <w:r>
        <w:rPr>
          <w:rFonts w:hint="eastAsia" w:ascii="宋体" w:hAnsi="宋体" w:eastAsia="宋体" w:cs="Times New Roman"/>
          <w:sz w:val="24"/>
          <w:szCs w:val="22"/>
        </w:rPr>
        <w:t>3. 设备年度检修管理</w:t>
      </w:r>
      <w:r>
        <w:rPr>
          <w:rFonts w:hint="eastAsia" w:ascii="宋体" w:hAnsi="宋体" w:eastAsia="宋体" w:cs="Times New Roman"/>
          <w:sz w:val="24"/>
          <w:szCs w:val="22"/>
        </w:rPr>
        <w:cr/>
      </w:r>
      <w:r>
        <w:rPr>
          <w:rFonts w:hint="eastAsia" w:ascii="宋体" w:hAnsi="宋体" w:eastAsia="宋体" w:cs="Times New Roman"/>
          <w:sz w:val="24"/>
          <w:szCs w:val="22"/>
        </w:rPr>
        <w:t>4. TPM体系维修行为的规范化</w:t>
      </w:r>
      <w:r>
        <w:rPr>
          <w:rFonts w:hint="eastAsia" w:ascii="宋体" w:hAnsi="宋体" w:eastAsia="宋体" w:cs="Times New Roman"/>
          <w:sz w:val="24"/>
          <w:szCs w:val="22"/>
        </w:rPr>
        <w:cr/>
      </w:r>
      <w:r>
        <w:rPr>
          <w:rFonts w:hint="eastAsia" w:ascii="宋体" w:hAnsi="宋体" w:eastAsia="宋体" w:cs="Times New Roman"/>
          <w:sz w:val="24"/>
          <w:szCs w:val="22"/>
        </w:rPr>
        <w:t>5. 工厂设备情报资料管理</w:t>
      </w:r>
    </w:p>
    <w:p w14:paraId="0FE526A1">
      <w:pPr>
        <w:spacing w:line="480" w:lineRule="exact"/>
        <w:rPr>
          <w:rFonts w:ascii="宋体" w:hAnsi="宋体" w:eastAsia="宋体" w:cs="Times New Roman"/>
          <w:sz w:val="24"/>
          <w:szCs w:val="22"/>
        </w:rPr>
      </w:pPr>
      <w:r>
        <w:rPr>
          <w:rFonts w:hint="eastAsia" w:ascii="宋体" w:hAnsi="宋体" w:eastAsia="宋体" w:cs="Times New Roman"/>
          <w:sz w:val="24"/>
          <w:szCs w:val="22"/>
        </w:rPr>
        <w:cr/>
      </w:r>
      <w:r>
        <w:rPr>
          <w:rFonts w:hint="eastAsia" w:ascii="宋体" w:hAnsi="宋体" w:eastAsia="宋体" w:cs="Times New Roman"/>
          <w:b/>
          <w:color w:val="1F4E79"/>
          <w:sz w:val="24"/>
          <w:szCs w:val="22"/>
        </w:rPr>
        <w:t>第五讲：成功推进TPM活动的要领</w:t>
      </w:r>
      <w:r>
        <w:rPr>
          <w:rFonts w:hint="eastAsia" w:ascii="宋体" w:hAnsi="宋体" w:eastAsia="宋体" w:cs="Times New Roman"/>
          <w:b/>
          <w:color w:val="1F4E79"/>
          <w:sz w:val="24"/>
          <w:szCs w:val="22"/>
        </w:rPr>
        <w:cr/>
      </w:r>
      <w:r>
        <w:rPr>
          <w:rFonts w:hint="eastAsia" w:ascii="宋体" w:hAnsi="宋体" w:eastAsia="宋体" w:cs="Times New Roman"/>
          <w:sz w:val="24"/>
          <w:szCs w:val="22"/>
        </w:rPr>
        <w:t>1. TPM活动方针和目标的确定</w:t>
      </w:r>
    </w:p>
    <w:p w14:paraId="70C5EC5C">
      <w:pPr>
        <w:spacing w:line="480" w:lineRule="exact"/>
        <w:rPr>
          <w:rFonts w:ascii="宋体" w:hAnsi="宋体" w:eastAsia="宋体" w:cs="Times New Roman"/>
          <w:sz w:val="24"/>
        </w:rPr>
      </w:pPr>
      <w:r>
        <w:rPr>
          <w:rFonts w:hint="eastAsia" w:ascii="宋体" w:hAnsi="宋体" w:eastAsia="宋体" w:cs="Times New Roman"/>
          <w:sz w:val="24"/>
          <w:szCs w:val="22"/>
        </w:rPr>
        <w:t>2. TPM导入的12阶段</w:t>
      </w:r>
      <w:r>
        <w:rPr>
          <w:rFonts w:hint="eastAsia" w:ascii="宋体" w:hAnsi="宋体" w:eastAsia="宋体" w:cs="Times New Roman"/>
          <w:sz w:val="24"/>
          <w:szCs w:val="22"/>
        </w:rPr>
        <w:cr/>
      </w:r>
      <w:r>
        <w:rPr>
          <w:rFonts w:hint="eastAsia" w:ascii="宋体" w:hAnsi="宋体" w:eastAsia="宋体" w:cs="Times New Roman"/>
          <w:sz w:val="24"/>
          <w:szCs w:val="22"/>
        </w:rPr>
        <w:t>3. 推行Tpm的13把尖刀</w:t>
      </w:r>
      <w:r>
        <w:rPr>
          <w:rFonts w:hint="eastAsia" w:ascii="宋体" w:hAnsi="宋体" w:eastAsia="宋体" w:cs="Times New Roman"/>
          <w:sz w:val="24"/>
          <w:szCs w:val="22"/>
        </w:rPr>
        <w:cr/>
      </w:r>
      <w:r>
        <w:rPr>
          <w:rFonts w:hint="eastAsia" w:ascii="宋体" w:hAnsi="宋体" w:eastAsia="宋体" w:cs="Times New Roman"/>
          <w:sz w:val="24"/>
          <w:szCs w:val="22"/>
        </w:rPr>
        <w:t>4. 完全基于现场的“3-2-3主义”</w:t>
      </w:r>
      <w:r>
        <w:rPr>
          <w:rFonts w:hint="eastAsia" w:ascii="宋体" w:hAnsi="宋体" w:eastAsia="宋体" w:cs="Times New Roman"/>
          <w:sz w:val="24"/>
          <w:szCs w:val="22"/>
        </w:rPr>
        <w:cr/>
      </w:r>
      <w:r>
        <w:rPr>
          <w:rFonts w:hint="eastAsia" w:ascii="宋体" w:hAnsi="宋体" w:eastAsia="宋体" w:cs="Times New Roman"/>
          <w:sz w:val="24"/>
          <w:szCs w:val="22"/>
        </w:rPr>
        <w:t>5. TPM样板区的推进</w:t>
      </w:r>
      <w:r>
        <w:rPr>
          <w:rFonts w:hint="eastAsia" w:ascii="宋体" w:hAnsi="宋体" w:eastAsia="宋体" w:cs="Times New Roman"/>
          <w:sz w:val="24"/>
          <w:szCs w:val="22"/>
        </w:rPr>
        <w:cr/>
      </w:r>
      <w:r>
        <w:rPr>
          <w:rFonts w:hint="eastAsia" w:ascii="宋体" w:hAnsi="宋体" w:eastAsia="宋体" w:cs="Times New Roman"/>
          <w:b/>
          <w:sz w:val="24"/>
          <w:szCs w:val="22"/>
        </w:rPr>
        <w:t>案例：</w:t>
      </w:r>
      <w:r>
        <w:rPr>
          <w:rFonts w:hint="eastAsia" w:ascii="宋体" w:hAnsi="宋体" w:eastAsia="宋体" w:cs="Times New Roman"/>
          <w:sz w:val="24"/>
          <w:szCs w:val="22"/>
        </w:rPr>
        <w:t>TPM改善案例视频分享</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M5MDYyNWM0MTY2MDE4ZjllZWJhZGQ5ODg0OWVjOTMifQ=="/>
    <w:docVar w:name="KSO_WPS_MARK_KEY" w:val="4373cf97-a141-49e7-9741-f3ae1ebb7aa6"/>
  </w:docVars>
  <w:rsids>
    <w:rsidRoot w:val="4068133F"/>
    <w:rsid w:val="0000617C"/>
    <w:rsid w:val="00024E4D"/>
    <w:rsid w:val="00030739"/>
    <w:rsid w:val="00033C07"/>
    <w:rsid w:val="00034013"/>
    <w:rsid w:val="00034093"/>
    <w:rsid w:val="000355F7"/>
    <w:rsid w:val="000447EB"/>
    <w:rsid w:val="00053AF8"/>
    <w:rsid w:val="00057BBD"/>
    <w:rsid w:val="000677AB"/>
    <w:rsid w:val="00076B7D"/>
    <w:rsid w:val="0009237E"/>
    <w:rsid w:val="00094BD3"/>
    <w:rsid w:val="000A15B3"/>
    <w:rsid w:val="000A7E03"/>
    <w:rsid w:val="000B1C88"/>
    <w:rsid w:val="000B7BA3"/>
    <w:rsid w:val="000C1501"/>
    <w:rsid w:val="000C5C26"/>
    <w:rsid w:val="000C7435"/>
    <w:rsid w:val="000F041E"/>
    <w:rsid w:val="001002F9"/>
    <w:rsid w:val="00106EC9"/>
    <w:rsid w:val="00113250"/>
    <w:rsid w:val="001368B2"/>
    <w:rsid w:val="00145FEF"/>
    <w:rsid w:val="00165386"/>
    <w:rsid w:val="00190301"/>
    <w:rsid w:val="00192A8C"/>
    <w:rsid w:val="0019421D"/>
    <w:rsid w:val="001F5BE6"/>
    <w:rsid w:val="00213DBE"/>
    <w:rsid w:val="0021426C"/>
    <w:rsid w:val="002311EB"/>
    <w:rsid w:val="0023690E"/>
    <w:rsid w:val="002649B0"/>
    <w:rsid w:val="002656BC"/>
    <w:rsid w:val="00285320"/>
    <w:rsid w:val="0029239B"/>
    <w:rsid w:val="002B24C1"/>
    <w:rsid w:val="002D01EA"/>
    <w:rsid w:val="002D0ED8"/>
    <w:rsid w:val="002F045C"/>
    <w:rsid w:val="002F2F22"/>
    <w:rsid w:val="002F4292"/>
    <w:rsid w:val="00306CF5"/>
    <w:rsid w:val="00313645"/>
    <w:rsid w:val="00336599"/>
    <w:rsid w:val="003412E5"/>
    <w:rsid w:val="00344A77"/>
    <w:rsid w:val="00352C58"/>
    <w:rsid w:val="0036469B"/>
    <w:rsid w:val="0036578E"/>
    <w:rsid w:val="0036743B"/>
    <w:rsid w:val="00371CE5"/>
    <w:rsid w:val="0038081D"/>
    <w:rsid w:val="00380A33"/>
    <w:rsid w:val="00383A8A"/>
    <w:rsid w:val="00390EC5"/>
    <w:rsid w:val="0039533A"/>
    <w:rsid w:val="003953A6"/>
    <w:rsid w:val="003B75EA"/>
    <w:rsid w:val="003C3C57"/>
    <w:rsid w:val="003D0EC9"/>
    <w:rsid w:val="003D489E"/>
    <w:rsid w:val="003E4701"/>
    <w:rsid w:val="003E71E6"/>
    <w:rsid w:val="0040152C"/>
    <w:rsid w:val="00405807"/>
    <w:rsid w:val="00440EFD"/>
    <w:rsid w:val="00442AE1"/>
    <w:rsid w:val="00450C1E"/>
    <w:rsid w:val="0045532B"/>
    <w:rsid w:val="004577F4"/>
    <w:rsid w:val="00465FB8"/>
    <w:rsid w:val="00470AE4"/>
    <w:rsid w:val="00475335"/>
    <w:rsid w:val="0047684A"/>
    <w:rsid w:val="004802B6"/>
    <w:rsid w:val="00491397"/>
    <w:rsid w:val="00495FF3"/>
    <w:rsid w:val="004B48CF"/>
    <w:rsid w:val="004C09C3"/>
    <w:rsid w:val="004C4215"/>
    <w:rsid w:val="004C5572"/>
    <w:rsid w:val="004D09E6"/>
    <w:rsid w:val="004D2A1E"/>
    <w:rsid w:val="004E23EC"/>
    <w:rsid w:val="004E6AAC"/>
    <w:rsid w:val="004F0ADF"/>
    <w:rsid w:val="004F51B0"/>
    <w:rsid w:val="004F5FCF"/>
    <w:rsid w:val="00500B27"/>
    <w:rsid w:val="005136B9"/>
    <w:rsid w:val="00514C61"/>
    <w:rsid w:val="0051630E"/>
    <w:rsid w:val="005177E1"/>
    <w:rsid w:val="0052463F"/>
    <w:rsid w:val="0052688F"/>
    <w:rsid w:val="005307AB"/>
    <w:rsid w:val="00533F1F"/>
    <w:rsid w:val="005341AF"/>
    <w:rsid w:val="005350E3"/>
    <w:rsid w:val="0053580A"/>
    <w:rsid w:val="00535CB2"/>
    <w:rsid w:val="00577B9D"/>
    <w:rsid w:val="00594AF3"/>
    <w:rsid w:val="005A1293"/>
    <w:rsid w:val="005A4FFD"/>
    <w:rsid w:val="005E5689"/>
    <w:rsid w:val="00600CE9"/>
    <w:rsid w:val="00602498"/>
    <w:rsid w:val="006029A9"/>
    <w:rsid w:val="00607802"/>
    <w:rsid w:val="00613B66"/>
    <w:rsid w:val="006217BD"/>
    <w:rsid w:val="00625CD4"/>
    <w:rsid w:val="00627D3B"/>
    <w:rsid w:val="006366BF"/>
    <w:rsid w:val="00642CDC"/>
    <w:rsid w:val="0064705A"/>
    <w:rsid w:val="00650AA3"/>
    <w:rsid w:val="00666A4D"/>
    <w:rsid w:val="0067204B"/>
    <w:rsid w:val="00690A2F"/>
    <w:rsid w:val="00697193"/>
    <w:rsid w:val="006A0979"/>
    <w:rsid w:val="006A3E2E"/>
    <w:rsid w:val="006A53DC"/>
    <w:rsid w:val="006B374B"/>
    <w:rsid w:val="006B6D6C"/>
    <w:rsid w:val="006C27CB"/>
    <w:rsid w:val="006D334F"/>
    <w:rsid w:val="006D563F"/>
    <w:rsid w:val="006D6552"/>
    <w:rsid w:val="006E047D"/>
    <w:rsid w:val="006E1C01"/>
    <w:rsid w:val="006E5FBC"/>
    <w:rsid w:val="006E67C6"/>
    <w:rsid w:val="006F7AE1"/>
    <w:rsid w:val="007171D7"/>
    <w:rsid w:val="00723693"/>
    <w:rsid w:val="00732C36"/>
    <w:rsid w:val="00737113"/>
    <w:rsid w:val="0074087B"/>
    <w:rsid w:val="007474AD"/>
    <w:rsid w:val="00756289"/>
    <w:rsid w:val="007673BC"/>
    <w:rsid w:val="00771EE2"/>
    <w:rsid w:val="0077350B"/>
    <w:rsid w:val="00787289"/>
    <w:rsid w:val="007A4124"/>
    <w:rsid w:val="007B196C"/>
    <w:rsid w:val="007B50E9"/>
    <w:rsid w:val="007C1FD5"/>
    <w:rsid w:val="007C681D"/>
    <w:rsid w:val="007C7247"/>
    <w:rsid w:val="007D1FDE"/>
    <w:rsid w:val="007D6DE4"/>
    <w:rsid w:val="007F0DEF"/>
    <w:rsid w:val="007F17D5"/>
    <w:rsid w:val="00801CD5"/>
    <w:rsid w:val="00811BFA"/>
    <w:rsid w:val="00827926"/>
    <w:rsid w:val="008312E9"/>
    <w:rsid w:val="0083593C"/>
    <w:rsid w:val="00836745"/>
    <w:rsid w:val="008373A3"/>
    <w:rsid w:val="00837D89"/>
    <w:rsid w:val="00846083"/>
    <w:rsid w:val="00851409"/>
    <w:rsid w:val="00860209"/>
    <w:rsid w:val="008604AA"/>
    <w:rsid w:val="008B10C3"/>
    <w:rsid w:val="008B45EC"/>
    <w:rsid w:val="008C289C"/>
    <w:rsid w:val="008C2E1A"/>
    <w:rsid w:val="008C6905"/>
    <w:rsid w:val="008D006D"/>
    <w:rsid w:val="008D7A1C"/>
    <w:rsid w:val="008F2DF8"/>
    <w:rsid w:val="00925F57"/>
    <w:rsid w:val="0096488D"/>
    <w:rsid w:val="00977A82"/>
    <w:rsid w:val="0098038B"/>
    <w:rsid w:val="009814FF"/>
    <w:rsid w:val="009905E1"/>
    <w:rsid w:val="009A183E"/>
    <w:rsid w:val="009B5D35"/>
    <w:rsid w:val="009B73E2"/>
    <w:rsid w:val="009D47C1"/>
    <w:rsid w:val="009E255D"/>
    <w:rsid w:val="009E68CE"/>
    <w:rsid w:val="009F01ED"/>
    <w:rsid w:val="00A10BB4"/>
    <w:rsid w:val="00A17C8E"/>
    <w:rsid w:val="00A232EF"/>
    <w:rsid w:val="00A364BD"/>
    <w:rsid w:val="00A37B6B"/>
    <w:rsid w:val="00A442FE"/>
    <w:rsid w:val="00A60FE9"/>
    <w:rsid w:val="00A62772"/>
    <w:rsid w:val="00A7383B"/>
    <w:rsid w:val="00A93423"/>
    <w:rsid w:val="00AA69F0"/>
    <w:rsid w:val="00AC4745"/>
    <w:rsid w:val="00AC7765"/>
    <w:rsid w:val="00AC7A56"/>
    <w:rsid w:val="00AD2AC2"/>
    <w:rsid w:val="00AE0AFC"/>
    <w:rsid w:val="00AE26C0"/>
    <w:rsid w:val="00AE2CAB"/>
    <w:rsid w:val="00AF2D40"/>
    <w:rsid w:val="00B06CAB"/>
    <w:rsid w:val="00B07063"/>
    <w:rsid w:val="00B117A2"/>
    <w:rsid w:val="00B2183D"/>
    <w:rsid w:val="00B21877"/>
    <w:rsid w:val="00B23303"/>
    <w:rsid w:val="00B3721A"/>
    <w:rsid w:val="00B46904"/>
    <w:rsid w:val="00B5218E"/>
    <w:rsid w:val="00B6202F"/>
    <w:rsid w:val="00B67962"/>
    <w:rsid w:val="00B70557"/>
    <w:rsid w:val="00B70EF1"/>
    <w:rsid w:val="00B741D9"/>
    <w:rsid w:val="00B76B88"/>
    <w:rsid w:val="00B80D5F"/>
    <w:rsid w:val="00B96CA7"/>
    <w:rsid w:val="00BA0FE3"/>
    <w:rsid w:val="00BA4706"/>
    <w:rsid w:val="00BC4D92"/>
    <w:rsid w:val="00BC5A23"/>
    <w:rsid w:val="00BE15F8"/>
    <w:rsid w:val="00BE4B2F"/>
    <w:rsid w:val="00BE562D"/>
    <w:rsid w:val="00BF21F7"/>
    <w:rsid w:val="00BF2429"/>
    <w:rsid w:val="00C11896"/>
    <w:rsid w:val="00C319BA"/>
    <w:rsid w:val="00C35F3A"/>
    <w:rsid w:val="00C365A1"/>
    <w:rsid w:val="00C41B21"/>
    <w:rsid w:val="00C75E93"/>
    <w:rsid w:val="00C81502"/>
    <w:rsid w:val="00C8790E"/>
    <w:rsid w:val="00CA40EB"/>
    <w:rsid w:val="00CC3DFE"/>
    <w:rsid w:val="00CC4650"/>
    <w:rsid w:val="00CC6F75"/>
    <w:rsid w:val="00CD747E"/>
    <w:rsid w:val="00CF76C5"/>
    <w:rsid w:val="00D01999"/>
    <w:rsid w:val="00D115A9"/>
    <w:rsid w:val="00D15147"/>
    <w:rsid w:val="00D34006"/>
    <w:rsid w:val="00D3437E"/>
    <w:rsid w:val="00D47D59"/>
    <w:rsid w:val="00D52F75"/>
    <w:rsid w:val="00D7723D"/>
    <w:rsid w:val="00D82EE3"/>
    <w:rsid w:val="00D86183"/>
    <w:rsid w:val="00D86E54"/>
    <w:rsid w:val="00D91524"/>
    <w:rsid w:val="00D9315A"/>
    <w:rsid w:val="00D95FDF"/>
    <w:rsid w:val="00DA582F"/>
    <w:rsid w:val="00DB4A43"/>
    <w:rsid w:val="00DB745F"/>
    <w:rsid w:val="00DC2EB6"/>
    <w:rsid w:val="00DC36AD"/>
    <w:rsid w:val="00DD4CB3"/>
    <w:rsid w:val="00DD682F"/>
    <w:rsid w:val="00DE14EA"/>
    <w:rsid w:val="00DE384E"/>
    <w:rsid w:val="00DF0DEA"/>
    <w:rsid w:val="00DF4036"/>
    <w:rsid w:val="00DF45E5"/>
    <w:rsid w:val="00E06F4E"/>
    <w:rsid w:val="00E156A7"/>
    <w:rsid w:val="00E27EF1"/>
    <w:rsid w:val="00E303A6"/>
    <w:rsid w:val="00E32BB6"/>
    <w:rsid w:val="00E33C2B"/>
    <w:rsid w:val="00E471BF"/>
    <w:rsid w:val="00E54954"/>
    <w:rsid w:val="00E630FA"/>
    <w:rsid w:val="00E635DF"/>
    <w:rsid w:val="00E73549"/>
    <w:rsid w:val="00E93A36"/>
    <w:rsid w:val="00EA43E7"/>
    <w:rsid w:val="00EA63DC"/>
    <w:rsid w:val="00EB563F"/>
    <w:rsid w:val="00ED00A0"/>
    <w:rsid w:val="00ED64EE"/>
    <w:rsid w:val="00EE19FE"/>
    <w:rsid w:val="00EE280C"/>
    <w:rsid w:val="00EF0E59"/>
    <w:rsid w:val="00EF7DF4"/>
    <w:rsid w:val="00F04D94"/>
    <w:rsid w:val="00F11E2D"/>
    <w:rsid w:val="00F21922"/>
    <w:rsid w:val="00F22CA3"/>
    <w:rsid w:val="00F729B9"/>
    <w:rsid w:val="00F7687D"/>
    <w:rsid w:val="00F77A8B"/>
    <w:rsid w:val="00F8102A"/>
    <w:rsid w:val="00F81074"/>
    <w:rsid w:val="00F959FA"/>
    <w:rsid w:val="00FA19CE"/>
    <w:rsid w:val="00FA4A4B"/>
    <w:rsid w:val="00FB0C98"/>
    <w:rsid w:val="00FC65B9"/>
    <w:rsid w:val="00FE2478"/>
    <w:rsid w:val="00FE5F23"/>
    <w:rsid w:val="00FF11FE"/>
    <w:rsid w:val="00FF33A2"/>
    <w:rsid w:val="05D32B59"/>
    <w:rsid w:val="06BD404D"/>
    <w:rsid w:val="0748600C"/>
    <w:rsid w:val="075C4DC7"/>
    <w:rsid w:val="07C531B9"/>
    <w:rsid w:val="083B347B"/>
    <w:rsid w:val="0A7D3A3D"/>
    <w:rsid w:val="0D2546FA"/>
    <w:rsid w:val="115E01DA"/>
    <w:rsid w:val="145777ED"/>
    <w:rsid w:val="15D81D48"/>
    <w:rsid w:val="162C08A7"/>
    <w:rsid w:val="173276DB"/>
    <w:rsid w:val="18512847"/>
    <w:rsid w:val="187E0809"/>
    <w:rsid w:val="1C0252B9"/>
    <w:rsid w:val="1E9E31C0"/>
    <w:rsid w:val="1F5D532F"/>
    <w:rsid w:val="1FF468DA"/>
    <w:rsid w:val="20EE50D7"/>
    <w:rsid w:val="22CA56D0"/>
    <w:rsid w:val="24EA3E07"/>
    <w:rsid w:val="25DE4A97"/>
    <w:rsid w:val="25F45096"/>
    <w:rsid w:val="26190E48"/>
    <w:rsid w:val="26722E1D"/>
    <w:rsid w:val="268362C1"/>
    <w:rsid w:val="276D30A7"/>
    <w:rsid w:val="28290DBA"/>
    <w:rsid w:val="28A5745D"/>
    <w:rsid w:val="29EB6BB6"/>
    <w:rsid w:val="2C161986"/>
    <w:rsid w:val="2D855015"/>
    <w:rsid w:val="2EEC0B94"/>
    <w:rsid w:val="2FB4773D"/>
    <w:rsid w:val="32233173"/>
    <w:rsid w:val="34711E4F"/>
    <w:rsid w:val="348E1204"/>
    <w:rsid w:val="35043E14"/>
    <w:rsid w:val="380F51D3"/>
    <w:rsid w:val="38785CA1"/>
    <w:rsid w:val="39537D75"/>
    <w:rsid w:val="398443D3"/>
    <w:rsid w:val="39DA49BD"/>
    <w:rsid w:val="3CE27D8E"/>
    <w:rsid w:val="3D785FFC"/>
    <w:rsid w:val="3F473ED8"/>
    <w:rsid w:val="4068133F"/>
    <w:rsid w:val="40EF2A79"/>
    <w:rsid w:val="41483F38"/>
    <w:rsid w:val="44631CCD"/>
    <w:rsid w:val="44B57B36"/>
    <w:rsid w:val="46C67DD9"/>
    <w:rsid w:val="47AC789F"/>
    <w:rsid w:val="47DE5FAD"/>
    <w:rsid w:val="49A87C69"/>
    <w:rsid w:val="4D0C050F"/>
    <w:rsid w:val="4D4E0B28"/>
    <w:rsid w:val="4F942BBA"/>
    <w:rsid w:val="51C13FBE"/>
    <w:rsid w:val="52287E1B"/>
    <w:rsid w:val="5245699D"/>
    <w:rsid w:val="53B042EA"/>
    <w:rsid w:val="54327810"/>
    <w:rsid w:val="54372316"/>
    <w:rsid w:val="543859C1"/>
    <w:rsid w:val="55415BE5"/>
    <w:rsid w:val="5585626C"/>
    <w:rsid w:val="55E42029"/>
    <w:rsid w:val="55EB785C"/>
    <w:rsid w:val="56293EE0"/>
    <w:rsid w:val="56B85264"/>
    <w:rsid w:val="57830F44"/>
    <w:rsid w:val="5CE768A3"/>
    <w:rsid w:val="61532759"/>
    <w:rsid w:val="62CD0900"/>
    <w:rsid w:val="635051A2"/>
    <w:rsid w:val="657A5867"/>
    <w:rsid w:val="657B5EAC"/>
    <w:rsid w:val="684921C0"/>
    <w:rsid w:val="69C51D1A"/>
    <w:rsid w:val="6A3C0B94"/>
    <w:rsid w:val="6B016D82"/>
    <w:rsid w:val="6D2A6A64"/>
    <w:rsid w:val="6DF745C2"/>
    <w:rsid w:val="70A408DB"/>
    <w:rsid w:val="71031AA6"/>
    <w:rsid w:val="711C2B67"/>
    <w:rsid w:val="728E1843"/>
    <w:rsid w:val="74263F9B"/>
    <w:rsid w:val="743E3634"/>
    <w:rsid w:val="747B362C"/>
    <w:rsid w:val="75680129"/>
    <w:rsid w:val="786C7F30"/>
    <w:rsid w:val="78F63C9E"/>
    <w:rsid w:val="79F27710"/>
    <w:rsid w:val="7AAA4D40"/>
    <w:rsid w:val="7B52258F"/>
    <w:rsid w:val="7C484810"/>
    <w:rsid w:val="7C6D4277"/>
    <w:rsid w:val="7CDB5685"/>
    <w:rsid w:val="7DBF0B02"/>
    <w:rsid w:val="7E8F2BCB"/>
    <w:rsid w:val="7F055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rPr>
  </w:style>
  <w:style w:type="character" w:styleId="7">
    <w:name w:val="Strong"/>
    <w:basedOn w:val="6"/>
    <w:qFormat/>
    <w:uiPriority w:val="22"/>
    <w:rPr>
      <w:b/>
      <w:bCs/>
    </w:rPr>
  </w:style>
  <w:style w:type="character" w:styleId="8">
    <w:name w:val="Hyperlink"/>
    <w:basedOn w:val="6"/>
    <w:unhideWhenUsed/>
    <w:qFormat/>
    <w:uiPriority w:val="99"/>
    <w:rPr>
      <w:color w:val="0000FF"/>
      <w:u w:val="single"/>
    </w:rPr>
  </w:style>
  <w:style w:type="paragraph" w:styleId="9">
    <w:name w:val="List Paragraph"/>
    <w:basedOn w:val="1"/>
    <w:qFormat/>
    <w:uiPriority w:val="34"/>
    <w:pPr>
      <w:ind w:firstLine="420" w:firstLineChars="200"/>
    </w:pPr>
  </w:style>
  <w:style w:type="character" w:customStyle="1" w:styleId="10">
    <w:name w:val="页眉 Char"/>
    <w:basedOn w:val="6"/>
    <w:link w:val="3"/>
    <w:qFormat/>
    <w:uiPriority w:val="0"/>
    <w:rPr>
      <w:kern w:val="2"/>
      <w:sz w:val="18"/>
      <w:szCs w:val="18"/>
    </w:rPr>
  </w:style>
  <w:style w:type="character" w:customStyle="1" w:styleId="11">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18284-2BE1-4AFD-865B-7E3DBA5F37F2}">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2410</Words>
  <Characters>2598</Characters>
  <Lines>20</Lines>
  <Paragraphs>5</Paragraphs>
  <TotalTime>463</TotalTime>
  <ScaleCrop>false</ScaleCrop>
  <LinksUpToDate>false</LinksUpToDate>
  <CharactersWithSpaces>2689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2023-08-28T08:03:00Z</dcterms:created>
  <dc:creator>宋㬢15068683728</dc:creator>
  <cp:lastModifiedBy>WPS_1602254128</cp:lastModifiedBy>
  <dcterms:modified xsi:type="dcterms:W3CDTF">2026-05-25T01:42:49Z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C2DF5F73EAF246CB939787C65E7E5643</vt:lpwstr>
  </property>
  <property fmtid="{D5CDD505-2E9C-101B-9397-08002B2CF9AE}" pid="4" name="KSOTemplateDocerSaveRecord">
    <vt:lpwstr>eyJoZGlkIjoiNjEwZmVlN2NiM2NhMjgzZGZkOTlmYmJhZWU4ZGM4YWUiLCJ1c2VySWQiOiIxMTI5MjEwMDA4In0=</vt:lpwstr>
  </property>
</Properties>
</file>