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28D77">
      <w:pPr>
        <w:rPr>
          <w:rFonts w:hint="eastAsia" w:ascii="宋体" w:hAnsi="宋体" w:eastAsia="宋体" w:cs="宋体"/>
          <w:b/>
          <w:color w:val="auto"/>
          <w:sz w:val="32"/>
        </w:rPr>
      </w:pPr>
      <w:r>
        <w:rPr>
          <w:rFonts w:hint="eastAsia" w:ascii="宋体" w:hAnsi="宋体" w:eastAsia="宋体" w:cs="宋体"/>
          <w:b/>
          <w:color w:val="auto"/>
          <w:sz w:val="32"/>
        </w:rPr>
        <w:drawing>
          <wp:anchor distT="0" distB="0" distL="114300" distR="114300" simplePos="0" relativeHeight="251659264" behindDoc="0" locked="0" layoutInCell="1" allowOverlap="1">
            <wp:simplePos x="0" y="0"/>
            <wp:positionH relativeFrom="margin">
              <wp:posOffset>4077970</wp:posOffset>
            </wp:positionH>
            <wp:positionV relativeFrom="margin">
              <wp:posOffset>92710</wp:posOffset>
            </wp:positionV>
            <wp:extent cx="1961515" cy="2219325"/>
            <wp:effectExtent l="0" t="0" r="635" b="9525"/>
            <wp:wrapSquare wrapText="bothSides"/>
            <wp:docPr id="1" name="图片 1" descr="证件照片——标准形象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证件照片——标准形象照"/>
                    <pic:cNvPicPr>
                      <a:picLocks noChangeAspect="1" noChangeArrowheads="1"/>
                    </pic:cNvPicPr>
                  </pic:nvPicPr>
                  <pic:blipFill>
                    <a:blip r:embed="rId6" cstate="print">
                      <a:extLst>
                        <a:ext uri="{28A0092B-C50C-407E-A947-70E740481C1C}">
                          <a14:useLocalDpi xmlns:a14="http://schemas.microsoft.com/office/drawing/2010/main" val="0"/>
                        </a:ext>
                      </a:extLst>
                    </a:blip>
                    <a:srcRect l="18026" t="7456" r="13586"/>
                    <a:stretch>
                      <a:fillRect/>
                    </a:stretch>
                  </pic:blipFill>
                  <pic:spPr>
                    <a:xfrm>
                      <a:off x="0" y="0"/>
                      <a:ext cx="1961515" cy="2219325"/>
                    </a:xfrm>
                    <a:prstGeom prst="rect">
                      <a:avLst/>
                    </a:prstGeom>
                    <a:noFill/>
                    <a:ln>
                      <a:noFill/>
                    </a:ln>
                  </pic:spPr>
                </pic:pic>
              </a:graphicData>
            </a:graphic>
          </wp:anchor>
        </w:drawing>
      </w:r>
      <w:r>
        <w:rPr>
          <w:rFonts w:hint="eastAsia" w:ascii="宋体" w:hAnsi="宋体" w:eastAsia="宋体" w:cs="宋体"/>
          <w:b/>
          <w:color w:val="auto"/>
          <w:sz w:val="32"/>
        </w:rPr>
        <w:t>刘超老师  精益生产管理实战专家</w:t>
      </w:r>
    </w:p>
    <w:p w14:paraId="7159D4A9">
      <w:pPr>
        <w:rPr>
          <w:rFonts w:hint="eastAsia" w:ascii="宋体" w:hAnsi="宋体" w:eastAsia="宋体" w:cs="宋体"/>
          <w:bCs/>
          <w:color w:val="auto"/>
        </w:rPr>
      </w:pPr>
      <w:r>
        <w:rPr>
          <w:rFonts w:hint="eastAsia" w:ascii="宋体" w:hAnsi="宋体" w:eastAsia="宋体" w:cs="宋体"/>
          <w:b/>
          <w:color w:val="C00000"/>
        </w:rPr>
        <w:t>23</w:t>
      </w:r>
      <w:r>
        <w:rPr>
          <w:rFonts w:hint="eastAsia" w:ascii="宋体" w:hAnsi="宋体" w:eastAsia="宋体" w:cs="宋体"/>
          <w:bCs/>
          <w:color w:val="auto"/>
        </w:rPr>
        <w:t>年精益生产管理实战经验</w:t>
      </w:r>
    </w:p>
    <w:p w14:paraId="1E404DB5">
      <w:pPr>
        <w:rPr>
          <w:rFonts w:hint="eastAsia" w:ascii="宋体" w:hAnsi="宋体" w:eastAsia="宋体" w:cs="宋体"/>
          <w:bCs/>
          <w:color w:val="auto"/>
        </w:rPr>
      </w:pPr>
      <w:r>
        <w:rPr>
          <w:rFonts w:hint="eastAsia" w:ascii="宋体" w:hAnsi="宋体" w:eastAsia="宋体" w:cs="宋体"/>
          <w:b/>
          <w:color w:val="auto"/>
        </w:rPr>
        <w:t>曾任：</w:t>
      </w:r>
      <w:r>
        <w:rPr>
          <w:rFonts w:hint="eastAsia" w:ascii="宋体" w:hAnsi="宋体" w:eastAsia="宋体" w:cs="宋体"/>
          <w:bCs/>
          <w:color w:val="auto"/>
        </w:rPr>
        <w:t>歌尔声学（上市） | 品质总监</w:t>
      </w:r>
    </w:p>
    <w:p w14:paraId="23F1EB67">
      <w:pPr>
        <w:rPr>
          <w:rFonts w:hint="eastAsia" w:ascii="宋体" w:hAnsi="宋体" w:eastAsia="宋体" w:cs="宋体"/>
          <w:bCs/>
          <w:color w:val="auto"/>
        </w:rPr>
      </w:pPr>
      <w:r>
        <w:rPr>
          <w:rFonts w:hint="eastAsia" w:ascii="宋体" w:hAnsi="宋体" w:eastAsia="宋体" w:cs="宋体"/>
          <w:b/>
          <w:color w:val="auto"/>
        </w:rPr>
        <w:t>曾任：</w:t>
      </w:r>
      <w:r>
        <w:rPr>
          <w:rFonts w:hint="eastAsia" w:ascii="宋体" w:hAnsi="宋体" w:eastAsia="宋体" w:cs="宋体"/>
          <w:bCs/>
          <w:color w:val="auto"/>
        </w:rPr>
        <w:t>华为 | 项目总监</w:t>
      </w:r>
    </w:p>
    <w:p w14:paraId="12C8BF3C">
      <w:pPr>
        <w:rPr>
          <w:rFonts w:hint="eastAsia" w:ascii="宋体" w:hAnsi="宋体" w:eastAsia="宋体" w:cs="宋体"/>
          <w:bCs/>
          <w:color w:val="auto"/>
        </w:rPr>
      </w:pPr>
      <w:r>
        <w:rPr>
          <w:rFonts w:hint="eastAsia" w:ascii="宋体" w:hAnsi="宋体" w:eastAsia="宋体" w:cs="宋体"/>
          <w:b/>
          <w:color w:val="auto"/>
        </w:rPr>
        <w:t>曾任：</w:t>
      </w:r>
      <w:r>
        <w:rPr>
          <w:rFonts w:hint="eastAsia" w:ascii="宋体" w:hAnsi="宋体" w:eastAsia="宋体" w:cs="宋体"/>
          <w:bCs/>
          <w:color w:val="auto"/>
        </w:rPr>
        <w:t>方正科技集团（上市） | 制造部经理</w:t>
      </w:r>
      <w:r>
        <w:rPr>
          <w:rFonts w:hint="eastAsia" w:ascii="宋体" w:hAnsi="宋体" w:eastAsia="宋体" w:cs="宋体"/>
          <w:bCs/>
          <w:color w:val="auto"/>
        </w:rPr>
        <w:br w:type="textWrapping"/>
      </w:r>
      <w:r>
        <w:rPr>
          <w:rFonts w:hint="eastAsia" w:ascii="宋体" w:hAnsi="宋体" w:eastAsia="宋体" w:cs="宋体"/>
          <w:b/>
          <w:color w:val="auto"/>
        </w:rPr>
        <w:t>曾任：</w:t>
      </w:r>
      <w:r>
        <w:rPr>
          <w:rFonts w:hint="eastAsia" w:ascii="宋体" w:hAnsi="宋体" w:eastAsia="宋体" w:cs="宋体"/>
          <w:bCs/>
          <w:color w:val="auto"/>
        </w:rPr>
        <w:t>恒通化工集团 | 品质总监</w:t>
      </w:r>
    </w:p>
    <w:p w14:paraId="38192EA4">
      <w:pPr>
        <w:rPr>
          <w:rFonts w:hint="eastAsia" w:ascii="宋体" w:hAnsi="宋体" w:eastAsia="宋体" w:cs="宋体"/>
          <w:bCs/>
          <w:color w:val="auto"/>
        </w:rPr>
      </w:pPr>
      <w:r>
        <w:rPr>
          <w:rFonts w:hint="eastAsia" w:ascii="宋体" w:hAnsi="宋体" w:eastAsia="宋体" w:cs="宋体"/>
          <w:bCs/>
          <w:color w:val="auto"/>
        </w:rPr>
        <w:t>郑州大学商学院MBA客座教授</w:t>
      </w:r>
    </w:p>
    <w:p w14:paraId="12E08F4F">
      <w:pPr>
        <w:rPr>
          <w:rFonts w:hint="eastAsia" w:ascii="宋体" w:hAnsi="宋体" w:eastAsia="宋体" w:cs="宋体"/>
          <w:bCs/>
          <w:color w:val="auto"/>
        </w:rPr>
      </w:pPr>
      <w:r>
        <w:rPr>
          <w:rFonts w:hint="eastAsia" w:ascii="宋体" w:hAnsi="宋体" w:eastAsia="宋体" w:cs="宋体"/>
          <w:bCs/>
          <w:color w:val="auto"/>
        </w:rPr>
        <w:t>郑州宇通集团、白象集团</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双汇食品、米米奇多</w:t>
      </w:r>
      <w:r>
        <w:rPr>
          <w:rFonts w:hint="eastAsia" w:ascii="宋体" w:hAnsi="宋体" w:eastAsia="宋体" w:cs="宋体"/>
          <w:bCs/>
          <w:color w:val="auto"/>
        </w:rPr>
        <w:t>、钱江摩托常年精益项目咨询顾问</w:t>
      </w:r>
      <w:r>
        <w:rPr>
          <w:rFonts w:hint="eastAsia" w:ascii="宋体" w:hAnsi="宋体" w:eastAsia="宋体" w:cs="宋体"/>
          <w:bCs/>
          <w:color w:val="auto"/>
        </w:rPr>
        <w:br w:type="textWrapping"/>
      </w:r>
      <w:r>
        <w:rPr>
          <w:rFonts w:hint="eastAsia" w:ascii="宋体" w:hAnsi="宋体" w:eastAsia="宋体" w:cs="宋体"/>
          <w:b/>
          <w:color w:val="C00000"/>
        </w:rPr>
        <w:t>擅长领域：</w:t>
      </w:r>
      <w:r>
        <w:rPr>
          <w:rFonts w:hint="eastAsia" w:ascii="宋体" w:hAnsi="宋体" w:eastAsia="宋体" w:cs="宋体"/>
          <w:bCs/>
          <w:color w:val="auto"/>
        </w:rPr>
        <w:t>金牌班组长、6s现场管理、质量管理、设备管理、精益生产管理、物料管理、安全生产管理、生产计划与物料控制、QC七大手法、</w:t>
      </w:r>
      <w:r>
        <w:rPr>
          <w:rFonts w:hint="eastAsia" w:ascii="宋体" w:hAnsi="宋体" w:eastAsia="宋体" w:cs="宋体"/>
          <w:bCs/>
          <w:color w:val="auto"/>
          <w:lang w:val="en-US" w:eastAsia="zh-CN"/>
        </w:rPr>
        <w:t>降本增效、</w:t>
      </w:r>
      <w:r>
        <w:rPr>
          <w:rFonts w:hint="eastAsia" w:ascii="宋体" w:hAnsi="宋体" w:eastAsia="宋体" w:cs="宋体"/>
          <w:bCs/>
          <w:color w:val="auto"/>
        </w:rPr>
        <w:t>IE工程等。</w:t>
      </w:r>
    </w:p>
    <w:p w14:paraId="4BE688B7">
      <w:pPr>
        <w:rPr>
          <w:rFonts w:hint="eastAsia" w:ascii="宋体" w:hAnsi="宋体" w:eastAsia="宋体" w:cs="宋体"/>
          <w:bCs/>
          <w:color w:val="auto"/>
        </w:rPr>
      </w:pPr>
      <w:r>
        <w:rPr>
          <w:rFonts w:hint="eastAsia" w:ascii="宋体" w:hAnsi="宋体" w:eastAsia="宋体" w:cs="宋体"/>
          <w:bCs/>
          <w:color w:val="auto"/>
          <w:sz w:val="36"/>
          <w:szCs w:val="36"/>
        </w:rPr>
        <w:t>◆</w:t>
      </w:r>
      <w:r>
        <w:rPr>
          <w:rFonts w:hint="eastAsia" w:ascii="宋体" w:hAnsi="宋体" w:eastAsia="宋体" w:cs="宋体"/>
          <w:bCs/>
          <w:color w:val="auto"/>
          <w:sz w:val="28"/>
          <w:szCs w:val="28"/>
        </w:rPr>
        <w:t xml:space="preserve"> </w:t>
      </w:r>
      <w:r>
        <w:rPr>
          <w:rFonts w:hint="eastAsia" w:ascii="宋体" w:hAnsi="宋体" w:eastAsia="宋体" w:cs="宋体"/>
          <w:b/>
          <w:color w:val="C00000"/>
        </w:rPr>
        <w:t>500+场</w:t>
      </w:r>
      <w:r>
        <w:rPr>
          <w:rFonts w:hint="eastAsia" w:ascii="宋体" w:hAnsi="宋体" w:eastAsia="宋体" w:cs="宋体"/>
          <w:bCs/>
          <w:color w:val="auto"/>
        </w:rPr>
        <w:t>培训课程，</w:t>
      </w:r>
      <w:r>
        <w:rPr>
          <w:rFonts w:hint="eastAsia" w:ascii="宋体" w:hAnsi="宋体" w:eastAsia="宋体" w:cs="宋体"/>
          <w:b/>
          <w:color w:val="C00000"/>
        </w:rPr>
        <w:t>3000+次</w:t>
      </w:r>
      <w:r>
        <w:rPr>
          <w:rFonts w:hint="eastAsia" w:ascii="宋体" w:hAnsi="宋体" w:eastAsia="宋体" w:cs="宋体"/>
          <w:bCs/>
          <w:color w:val="auto"/>
        </w:rPr>
        <w:t>现场巡视：培养</w:t>
      </w:r>
      <w:r>
        <w:rPr>
          <w:rFonts w:hint="eastAsia" w:ascii="宋体" w:hAnsi="宋体" w:eastAsia="宋体" w:cs="宋体"/>
          <w:b/>
          <w:color w:val="C00000"/>
        </w:rPr>
        <w:t>2000+</w:t>
      </w:r>
      <w:r>
        <w:rPr>
          <w:rFonts w:hint="eastAsia" w:ascii="宋体" w:hAnsi="宋体" w:eastAsia="宋体" w:cs="宋体"/>
          <w:bCs/>
          <w:color w:val="auto"/>
        </w:rPr>
        <w:t>位优秀班组长，</w:t>
      </w:r>
      <w:r>
        <w:rPr>
          <w:rFonts w:hint="eastAsia" w:ascii="宋体" w:hAnsi="宋体" w:eastAsia="宋体" w:cs="宋体"/>
          <w:b/>
          <w:color w:val="C00000"/>
        </w:rPr>
        <w:t>1000+</w:t>
      </w:r>
      <w:r>
        <w:rPr>
          <w:rFonts w:hint="eastAsia" w:ascii="宋体" w:hAnsi="宋体" w:eastAsia="宋体" w:cs="宋体"/>
          <w:bCs/>
          <w:color w:val="auto"/>
        </w:rPr>
        <w:t>位优秀车间主任、生产经理。</w:t>
      </w:r>
    </w:p>
    <w:p w14:paraId="6617A51A">
      <w:pPr>
        <w:rPr>
          <w:rFonts w:hint="eastAsia" w:ascii="宋体" w:hAnsi="宋体" w:eastAsia="宋体" w:cs="宋体"/>
          <w:bCs/>
          <w:color w:val="auto"/>
        </w:rPr>
      </w:pPr>
      <w:r>
        <w:rPr>
          <w:rFonts w:hint="eastAsia" w:ascii="宋体" w:hAnsi="宋体" w:eastAsia="宋体" w:cs="宋体"/>
          <w:bCs/>
          <w:color w:val="auto"/>
          <w:sz w:val="36"/>
          <w:szCs w:val="36"/>
        </w:rPr>
        <w:t>◆</w:t>
      </w:r>
      <w:r>
        <w:rPr>
          <w:rFonts w:hint="eastAsia" w:ascii="宋体" w:hAnsi="宋体" w:eastAsia="宋体" w:cs="宋体"/>
          <w:bCs/>
          <w:color w:val="auto"/>
          <w:sz w:val="28"/>
          <w:szCs w:val="28"/>
        </w:rPr>
        <w:t xml:space="preserve"> </w:t>
      </w:r>
      <w:r>
        <w:rPr>
          <w:rFonts w:hint="eastAsia" w:ascii="宋体" w:hAnsi="宋体" w:eastAsia="宋体" w:cs="宋体"/>
          <w:b/>
          <w:color w:val="C00000"/>
        </w:rPr>
        <w:t>10+年</w:t>
      </w:r>
      <w:r>
        <w:rPr>
          <w:rFonts w:hint="eastAsia" w:ascii="宋体" w:hAnsi="宋体" w:eastAsia="宋体" w:cs="宋体"/>
          <w:bCs/>
          <w:color w:val="auto"/>
        </w:rPr>
        <w:t>制造业咨询项目实战经验，帮助近</w:t>
      </w:r>
      <w:r>
        <w:rPr>
          <w:rFonts w:hint="eastAsia" w:ascii="宋体" w:hAnsi="宋体" w:eastAsia="宋体" w:cs="宋体"/>
          <w:b/>
          <w:color w:val="C00000"/>
        </w:rPr>
        <w:t>500家</w:t>
      </w:r>
      <w:r>
        <w:rPr>
          <w:rFonts w:hint="eastAsia" w:ascii="宋体" w:hAnsi="宋体" w:eastAsia="宋体" w:cs="宋体"/>
          <w:bCs/>
          <w:color w:val="auto"/>
        </w:rPr>
        <w:t>企业全方位多层面实现生产效率提升。</w:t>
      </w:r>
    </w:p>
    <w:p w14:paraId="3425C15E">
      <w:pPr>
        <w:rPr>
          <w:rFonts w:hint="eastAsia" w:ascii="宋体" w:hAnsi="宋体" w:eastAsia="宋体" w:cs="宋体"/>
          <w:bCs/>
          <w:color w:val="auto"/>
        </w:rPr>
      </w:pPr>
      <w:r>
        <w:rPr>
          <w:rFonts w:hint="eastAsia" w:ascii="宋体" w:hAnsi="宋体" w:eastAsia="宋体" w:cs="宋体"/>
          <w:bCs/>
          <w:color w:val="auto"/>
          <w:sz w:val="36"/>
          <w:szCs w:val="36"/>
        </w:rPr>
        <w:t>◆</w:t>
      </w:r>
      <w:r>
        <w:rPr>
          <w:rFonts w:hint="eastAsia" w:ascii="宋体" w:hAnsi="宋体" w:eastAsia="宋体" w:cs="宋体"/>
          <w:bCs/>
          <w:color w:val="auto"/>
          <w:sz w:val="32"/>
          <w:szCs w:val="32"/>
        </w:rPr>
        <w:t xml:space="preserve"> </w:t>
      </w:r>
      <w:r>
        <w:rPr>
          <w:rFonts w:hint="eastAsia" w:ascii="宋体" w:hAnsi="宋体" w:eastAsia="宋体" w:cs="宋体"/>
          <w:b/>
          <w:color w:val="C00000"/>
        </w:rPr>
        <w:t>华为手机终端事业部</w:t>
      </w:r>
      <w:r>
        <w:rPr>
          <w:rFonts w:hint="eastAsia" w:ascii="宋体" w:hAnsi="宋体" w:eastAsia="宋体" w:cs="宋体"/>
          <w:bCs/>
          <w:color w:val="000000" w:themeColor="text1"/>
          <w14:textFill>
            <w14:solidFill>
              <w14:schemeClr w14:val="tx1"/>
            </w14:solidFill>
          </w14:textFill>
        </w:rPr>
        <w:t>精益质量控制运营模式的主要奠基人之一：</w:t>
      </w:r>
      <w:r>
        <w:rPr>
          <w:rFonts w:hint="eastAsia" w:ascii="宋体" w:hAnsi="宋体" w:eastAsia="宋体" w:cs="宋体"/>
          <w:b/>
          <w:color w:val="C00000"/>
        </w:rPr>
        <w:t>3年</w:t>
      </w:r>
      <w:r>
        <w:rPr>
          <w:rFonts w:hint="eastAsia" w:ascii="宋体" w:hAnsi="宋体" w:eastAsia="宋体" w:cs="宋体"/>
          <w:bCs/>
          <w:color w:val="auto"/>
        </w:rPr>
        <w:t>时间将华为OEM工厂生产质量效率做到行业前三，</w:t>
      </w:r>
      <w:r>
        <w:rPr>
          <w:rFonts w:hint="eastAsia" w:ascii="宋体" w:hAnsi="宋体" w:eastAsia="宋体" w:cs="宋体"/>
          <w:b/>
          <w:color w:val="C00000"/>
        </w:rPr>
        <w:t>5年时间成为行业第一</w:t>
      </w:r>
      <w:r>
        <w:rPr>
          <w:rFonts w:hint="eastAsia" w:ascii="宋体" w:hAnsi="宋体" w:eastAsia="宋体" w:cs="宋体"/>
          <w:bCs/>
          <w:color w:val="auto"/>
        </w:rPr>
        <w:t>并持续至今，期间“零”重大质量问题，效率及</w:t>
      </w:r>
      <w:r>
        <w:rPr>
          <w:rFonts w:hint="eastAsia" w:ascii="宋体" w:hAnsi="宋体" w:eastAsia="宋体" w:cs="宋体"/>
          <w:b/>
          <w:color w:val="C00000"/>
        </w:rPr>
        <w:t>利润增涨约200%</w:t>
      </w:r>
      <w:r>
        <w:rPr>
          <w:rFonts w:hint="eastAsia" w:ascii="宋体" w:hAnsi="宋体" w:eastAsia="宋体" w:cs="宋体"/>
          <w:bCs/>
          <w:color w:val="auto"/>
        </w:rPr>
        <w:t>，持续领先同行。</w:t>
      </w:r>
      <w:r>
        <w:rPr>
          <w:rFonts w:hint="eastAsia" w:ascii="宋体" w:hAnsi="宋体" w:eastAsia="宋体" w:cs="宋体"/>
          <w:bCs/>
          <w:color w:val="auto"/>
        </w:rPr>
        <w:br w:type="textWrapping"/>
      </w:r>
    </w:p>
    <w:p w14:paraId="277814B5">
      <w:pPr>
        <w:rPr>
          <w:rFonts w:hint="eastAsia" w:ascii="宋体" w:hAnsi="宋体" w:eastAsia="宋体" w:cs="宋体"/>
          <w:b/>
          <w:color w:val="auto"/>
        </w:rPr>
      </w:pPr>
      <w:r>
        <w:rPr>
          <w:rFonts w:hint="eastAsia" w:ascii="宋体" w:hAnsi="宋体" w:eastAsia="宋体" w:cs="宋体"/>
          <w:b/>
          <w:color w:val="auto"/>
        </w:rPr>
        <w:t>实战经验：</w:t>
      </w:r>
    </w:p>
    <w:p w14:paraId="44BF2A43">
      <w:pPr>
        <w:ind w:firstLine="480" w:firstLineChars="200"/>
        <w:rPr>
          <w:rFonts w:hint="eastAsia" w:ascii="宋体" w:hAnsi="宋体" w:eastAsia="宋体" w:cs="宋体"/>
          <w:bCs/>
          <w:color w:val="auto"/>
        </w:rPr>
      </w:pPr>
      <w:r>
        <w:rPr>
          <w:rFonts w:hint="eastAsia" w:ascii="宋体" w:hAnsi="宋体" w:eastAsia="宋体" w:cs="宋体"/>
          <w:bCs/>
          <w:color w:val="auto"/>
        </w:rPr>
        <w:t>任职</w:t>
      </w:r>
      <w:r>
        <w:rPr>
          <w:rFonts w:hint="eastAsia" w:ascii="宋体" w:hAnsi="宋体" w:eastAsia="宋体" w:cs="宋体"/>
          <w:b/>
          <w:color w:val="C00000"/>
        </w:rPr>
        <w:t>华为-项目总监期间</w:t>
      </w:r>
      <w:r>
        <w:rPr>
          <w:rFonts w:hint="eastAsia" w:ascii="宋体" w:hAnsi="宋体" w:eastAsia="宋体" w:cs="宋体"/>
          <w:bCs/>
          <w:color w:val="auto"/>
        </w:rPr>
        <w:t>，成功将华为手机终端事业部</w:t>
      </w:r>
      <w:r>
        <w:rPr>
          <w:rFonts w:hint="eastAsia" w:ascii="宋体" w:hAnsi="宋体" w:eastAsia="宋体" w:cs="宋体"/>
          <w:b/>
          <w:color w:val="C00000"/>
        </w:rPr>
        <w:t>四大管控系统</w:t>
      </w:r>
      <w:r>
        <w:rPr>
          <w:rFonts w:hint="eastAsia" w:ascii="宋体" w:hAnsi="宋体" w:eastAsia="宋体" w:cs="宋体"/>
          <w:bCs/>
          <w:color w:val="auto"/>
        </w:rPr>
        <w:t>（工管、品管、生管和经管），扩展至集团全球工厂，奠定华为手机终端事业部精益质量控制运营模式基础：</w:t>
      </w:r>
    </w:p>
    <w:p w14:paraId="74C52341">
      <w:pPr>
        <w:spacing w:line="440" w:lineRule="exact"/>
        <w:rPr>
          <w:rFonts w:hint="eastAsia" w:ascii="宋体" w:hAnsi="宋体" w:eastAsia="宋体" w:cs="宋体"/>
          <w:bCs/>
          <w:color w:val="auto"/>
        </w:rPr>
      </w:pPr>
      <w:r>
        <w:rPr>
          <w:rFonts w:hint="eastAsia" w:ascii="宋体" w:hAnsi="宋体" w:eastAsia="宋体" w:cs="宋体"/>
          <w:b/>
          <w:color w:val="auto"/>
          <w:shd w:val="clear" w:color="auto" w:fill="FBE4D5" w:themeFill="accent2" w:themeFillTint="33"/>
        </w:rPr>
        <w:t>成果1：</w:t>
      </w:r>
      <w:r>
        <w:rPr>
          <w:rFonts w:hint="eastAsia" w:ascii="宋体" w:hAnsi="宋体" w:eastAsia="宋体" w:cs="宋体"/>
          <w:bCs/>
          <w:color w:val="auto"/>
        </w:rPr>
        <w:t>主导产品开发/产品旧改提升的</w:t>
      </w:r>
      <w:r>
        <w:rPr>
          <w:rFonts w:hint="eastAsia" w:ascii="宋体" w:hAnsi="宋体" w:eastAsia="宋体" w:cs="宋体"/>
          <w:b/>
          <w:color w:val="C00000"/>
        </w:rPr>
        <w:t>100%成功</w:t>
      </w:r>
      <w:r>
        <w:rPr>
          <w:rFonts w:hint="eastAsia" w:ascii="宋体" w:hAnsi="宋体" w:eastAsia="宋体" w:cs="宋体"/>
          <w:bCs/>
          <w:color w:val="auto"/>
        </w:rPr>
        <w:t>——指导审核产品核心模块的设计，产品图纸设计</w:t>
      </w:r>
      <w:r>
        <w:rPr>
          <w:rFonts w:hint="eastAsia" w:ascii="宋体" w:hAnsi="宋体" w:eastAsia="宋体" w:cs="宋体"/>
          <w:b/>
          <w:color w:val="C00000"/>
        </w:rPr>
        <w:t>出错率由1%降至0</w:t>
      </w:r>
      <w:r>
        <w:rPr>
          <w:rFonts w:hint="eastAsia" w:ascii="宋体" w:hAnsi="宋体" w:eastAsia="宋体" w:cs="宋体"/>
          <w:bCs/>
          <w:color w:val="auto"/>
        </w:rPr>
        <w:t>，实现新产品开发</w:t>
      </w:r>
      <w:r>
        <w:rPr>
          <w:rFonts w:hint="eastAsia" w:ascii="宋体" w:hAnsi="宋体" w:eastAsia="宋体" w:cs="宋体"/>
          <w:b/>
          <w:color w:val="C00000"/>
        </w:rPr>
        <w:t>成功率90%→100%</w:t>
      </w:r>
      <w:r>
        <w:rPr>
          <w:rFonts w:hint="eastAsia" w:ascii="宋体" w:hAnsi="宋体" w:eastAsia="宋体" w:cs="宋体"/>
          <w:bCs/>
          <w:color w:val="auto"/>
        </w:rPr>
        <w:t>，旧产品升级改造转换率</w:t>
      </w:r>
      <w:r>
        <w:rPr>
          <w:rFonts w:hint="eastAsia" w:ascii="宋体" w:hAnsi="宋体" w:eastAsia="宋体" w:cs="宋体"/>
          <w:b/>
          <w:color w:val="C00000"/>
        </w:rPr>
        <w:t>提升至100%</w:t>
      </w:r>
      <w:r>
        <w:rPr>
          <w:rFonts w:hint="eastAsia" w:ascii="宋体" w:hAnsi="宋体" w:eastAsia="宋体" w:cs="宋体"/>
          <w:bCs/>
          <w:color w:val="auto"/>
        </w:rPr>
        <w:t>；</w:t>
      </w:r>
    </w:p>
    <w:p w14:paraId="49E6696D">
      <w:pPr>
        <w:spacing w:line="440" w:lineRule="exact"/>
        <w:rPr>
          <w:rFonts w:hint="eastAsia" w:ascii="宋体" w:hAnsi="宋体" w:eastAsia="宋体" w:cs="宋体"/>
          <w:bCs/>
          <w:color w:val="auto"/>
        </w:rPr>
      </w:pPr>
      <w:r>
        <w:rPr>
          <w:rFonts w:hint="eastAsia" w:ascii="宋体" w:hAnsi="宋体" w:eastAsia="宋体" w:cs="宋体"/>
          <w:b/>
          <w:color w:val="auto"/>
          <w:shd w:val="clear" w:color="auto" w:fill="FBE4D5" w:themeFill="accent2" w:themeFillTint="33"/>
        </w:rPr>
        <w:t>成果2：</w:t>
      </w:r>
      <w:r>
        <w:rPr>
          <w:rFonts w:hint="eastAsia" w:ascii="宋体" w:hAnsi="宋体" w:eastAsia="宋体" w:cs="宋体"/>
          <w:bCs/>
          <w:color w:val="auto"/>
        </w:rPr>
        <w:t>移动终端项目产品开发市场效益从</w:t>
      </w:r>
      <w:r>
        <w:rPr>
          <w:rFonts w:hint="eastAsia" w:ascii="宋体" w:hAnsi="宋体" w:eastAsia="宋体" w:cs="宋体"/>
          <w:b/>
          <w:color w:val="C00000"/>
        </w:rPr>
        <w:t>3亿→10个亿</w:t>
      </w:r>
      <w:r>
        <w:rPr>
          <w:rFonts w:hint="eastAsia" w:ascii="宋体" w:hAnsi="宋体" w:eastAsia="宋体" w:cs="宋体"/>
          <w:bCs/>
          <w:color w:val="auto"/>
        </w:rPr>
        <w:t>提升——组织并督促团队成员学习并掌握产品开发中所需的技术和能力，打造了专业实战的移动终端项目团队，推动移动终端项目实现</w:t>
      </w:r>
      <w:r>
        <w:rPr>
          <w:rFonts w:hint="eastAsia" w:ascii="宋体" w:hAnsi="宋体" w:eastAsia="宋体" w:cs="宋体"/>
          <w:b/>
          <w:color w:val="C00000"/>
        </w:rPr>
        <w:t>3亿→20个亿</w:t>
      </w:r>
      <w:r>
        <w:rPr>
          <w:rFonts w:hint="eastAsia" w:ascii="宋体" w:hAnsi="宋体" w:eastAsia="宋体" w:cs="宋体"/>
          <w:bCs/>
          <w:color w:val="auto"/>
        </w:rPr>
        <w:t>的增长，培养了</w:t>
      </w:r>
      <w:r>
        <w:rPr>
          <w:rFonts w:hint="eastAsia" w:ascii="宋体" w:hAnsi="宋体" w:eastAsia="宋体" w:cs="宋体"/>
          <w:b/>
          <w:color w:val="C00000"/>
        </w:rPr>
        <w:t>100+位</w:t>
      </w:r>
      <w:r>
        <w:rPr>
          <w:rFonts w:hint="eastAsia" w:ascii="宋体" w:hAnsi="宋体" w:eastAsia="宋体" w:cs="宋体"/>
          <w:bCs/>
          <w:color w:val="auto"/>
        </w:rPr>
        <w:t>质量工程技术人才。</w:t>
      </w:r>
    </w:p>
    <w:p w14:paraId="27675B55">
      <w:pPr>
        <w:spacing w:line="440" w:lineRule="exact"/>
        <w:rPr>
          <w:rFonts w:hint="eastAsia" w:ascii="宋体" w:hAnsi="宋体" w:eastAsia="宋体" w:cs="宋体"/>
          <w:bCs/>
          <w:color w:val="auto"/>
        </w:rPr>
      </w:pPr>
    </w:p>
    <w:p w14:paraId="43279276">
      <w:pPr>
        <w:spacing w:line="440" w:lineRule="exact"/>
        <w:ind w:firstLine="240" w:firstLineChars="100"/>
        <w:rPr>
          <w:rFonts w:hint="eastAsia" w:ascii="宋体" w:hAnsi="宋体" w:eastAsia="宋体" w:cs="宋体"/>
          <w:bCs/>
          <w:color w:val="C00000"/>
        </w:rPr>
      </w:pPr>
      <w:r>
        <w:rPr>
          <w:rFonts w:hint="eastAsia" w:ascii="宋体" w:hAnsi="宋体" w:eastAsia="宋体" w:cs="宋体"/>
          <w:bCs/>
          <w:color w:val="auto"/>
        </w:rPr>
        <w:t>任职</w:t>
      </w:r>
      <w:r>
        <w:rPr>
          <w:rFonts w:hint="eastAsia" w:ascii="宋体" w:hAnsi="宋体" w:eastAsia="宋体" w:cs="宋体"/>
          <w:b/>
          <w:color w:val="C00000"/>
        </w:rPr>
        <w:t>歌尔声学-品质总监期间</w:t>
      </w:r>
      <w:r>
        <w:rPr>
          <w:rFonts w:hint="eastAsia" w:ascii="宋体" w:hAnsi="宋体" w:eastAsia="宋体" w:cs="宋体"/>
          <w:bCs/>
          <w:color w:val="auto"/>
        </w:rPr>
        <w:t>，为歌尔建立了超强战斗力的组织模式及质量团队，通过系统的打造，复制成功经验到各子公司、</w:t>
      </w:r>
      <w:r>
        <w:rPr>
          <w:rFonts w:hint="eastAsia" w:ascii="宋体" w:hAnsi="宋体" w:eastAsia="宋体" w:cs="宋体"/>
          <w:b/>
          <w:color w:val="C00000"/>
        </w:rPr>
        <w:t>20+</w:t>
      </w:r>
      <w:r>
        <w:rPr>
          <w:rFonts w:hint="eastAsia" w:ascii="宋体" w:hAnsi="宋体" w:eastAsia="宋体" w:cs="宋体"/>
          <w:bCs/>
          <w:color w:val="auto"/>
        </w:rPr>
        <w:t>个事业部，培养了</w:t>
      </w:r>
      <w:r>
        <w:rPr>
          <w:rFonts w:hint="eastAsia" w:ascii="宋体" w:hAnsi="宋体" w:eastAsia="宋体" w:cs="宋体"/>
          <w:b/>
          <w:color w:val="C00000"/>
        </w:rPr>
        <w:t>300多名</w:t>
      </w:r>
      <w:r>
        <w:rPr>
          <w:rFonts w:hint="eastAsia" w:ascii="宋体" w:hAnsi="宋体" w:eastAsia="宋体" w:cs="宋体"/>
          <w:bCs/>
          <w:color w:val="auto"/>
        </w:rPr>
        <w:t>质量及生产干部，创造了有史以来公司生产质量管理的里程碑，得到了国内外专家的</w:t>
      </w:r>
      <w:r>
        <w:rPr>
          <w:rFonts w:hint="eastAsia" w:ascii="宋体" w:hAnsi="宋体" w:eastAsia="宋体" w:cs="宋体"/>
          <w:b/>
          <w:color w:val="C00000"/>
        </w:rPr>
        <w:t>100%好评</w:t>
      </w:r>
      <w:r>
        <w:rPr>
          <w:rFonts w:hint="eastAsia" w:ascii="宋体" w:hAnsi="宋体" w:eastAsia="宋体" w:cs="宋体"/>
          <w:bCs/>
          <w:color w:val="auto"/>
        </w:rPr>
        <w:t>。</w:t>
      </w:r>
    </w:p>
    <w:p w14:paraId="602A96C0">
      <w:pPr>
        <w:rPr>
          <w:rFonts w:hint="eastAsia" w:ascii="宋体" w:hAnsi="宋体" w:eastAsia="宋体" w:cs="宋体"/>
          <w:bCs/>
          <w:color w:val="auto"/>
        </w:rPr>
      </w:pPr>
      <w:r>
        <w:rPr>
          <w:rFonts w:hint="eastAsia" w:ascii="宋体" w:hAnsi="宋体" w:eastAsia="宋体" w:cs="宋体"/>
          <w:b/>
          <w:color w:val="auto"/>
          <w:shd w:val="clear" w:color="auto" w:fill="FBE4D5" w:themeFill="accent2" w:themeFillTint="33"/>
        </w:rPr>
        <w:t>成果1：</w:t>
      </w:r>
      <w:r>
        <w:rPr>
          <w:rFonts w:hint="eastAsia" w:ascii="宋体" w:hAnsi="宋体" w:eastAsia="宋体" w:cs="宋体"/>
          <w:bCs/>
          <w:color w:val="auto"/>
        </w:rPr>
        <w:t>推动产品出货合格率</w:t>
      </w:r>
      <w:r>
        <w:rPr>
          <w:rFonts w:hint="eastAsia" w:ascii="宋体" w:hAnsi="宋体" w:eastAsia="宋体" w:cs="宋体"/>
          <w:b/>
          <w:color w:val="C00000"/>
        </w:rPr>
        <w:t>2%提升</w:t>
      </w:r>
      <w:r>
        <w:rPr>
          <w:rFonts w:hint="eastAsia" w:ascii="宋体" w:hAnsi="宋体" w:eastAsia="宋体" w:cs="宋体"/>
          <w:bCs/>
          <w:color w:val="auto"/>
        </w:rPr>
        <w:t>——通过制定检验标准、分析和解决产品的质量问题，推动产线过程良率的</w:t>
      </w:r>
      <w:r>
        <w:rPr>
          <w:rFonts w:hint="eastAsia" w:ascii="宋体" w:hAnsi="宋体" w:eastAsia="宋体" w:cs="宋体"/>
          <w:b/>
          <w:color w:val="C00000"/>
        </w:rPr>
        <w:t>提升50%</w:t>
      </w:r>
      <w:r>
        <w:rPr>
          <w:rFonts w:hint="eastAsia" w:ascii="宋体" w:hAnsi="宋体" w:eastAsia="宋体" w:cs="宋体"/>
          <w:bCs/>
          <w:color w:val="auto"/>
        </w:rPr>
        <w:t>，实现出货批次合格率的</w:t>
      </w:r>
      <w:r>
        <w:rPr>
          <w:rFonts w:hint="eastAsia" w:ascii="宋体" w:hAnsi="宋体" w:eastAsia="宋体" w:cs="宋体"/>
          <w:b/>
          <w:color w:val="C00000"/>
        </w:rPr>
        <w:t>提升2%</w:t>
      </w:r>
      <w:r>
        <w:rPr>
          <w:rFonts w:hint="eastAsia" w:ascii="宋体" w:hAnsi="宋体" w:eastAsia="宋体" w:cs="宋体"/>
          <w:bCs/>
          <w:color w:val="auto"/>
        </w:rPr>
        <w:t>，产品质量达到世界先进水平，为公司降本增效</w:t>
      </w:r>
      <w:r>
        <w:rPr>
          <w:rFonts w:hint="eastAsia" w:ascii="宋体" w:hAnsi="宋体" w:eastAsia="宋体" w:cs="宋体"/>
          <w:b/>
          <w:color w:val="C00000"/>
        </w:rPr>
        <w:t>节省成本5000多万元</w:t>
      </w:r>
      <w:r>
        <w:rPr>
          <w:rFonts w:hint="eastAsia" w:ascii="宋体" w:hAnsi="宋体" w:eastAsia="宋体" w:cs="宋体"/>
          <w:bCs/>
          <w:color w:val="auto"/>
        </w:rPr>
        <w:t>。</w:t>
      </w:r>
    </w:p>
    <w:p w14:paraId="5CE63471">
      <w:pPr>
        <w:rPr>
          <w:rFonts w:hint="eastAsia" w:ascii="宋体" w:hAnsi="宋体" w:eastAsia="宋体" w:cs="宋体"/>
          <w:bCs/>
          <w:color w:val="auto"/>
        </w:rPr>
      </w:pPr>
      <w:r>
        <w:rPr>
          <w:rFonts w:hint="eastAsia" w:ascii="宋体" w:hAnsi="宋体" w:eastAsia="宋体" w:cs="宋体"/>
          <w:b/>
          <w:color w:val="auto"/>
          <w:shd w:val="clear" w:color="auto" w:fill="FBE4D5" w:themeFill="accent2" w:themeFillTint="33"/>
        </w:rPr>
        <w:t>成果2：</w:t>
      </w:r>
      <w:r>
        <w:rPr>
          <w:rFonts w:hint="eastAsia" w:ascii="宋体" w:hAnsi="宋体" w:eastAsia="宋体" w:cs="宋体"/>
          <w:bCs/>
          <w:color w:val="auto"/>
        </w:rPr>
        <w:t>产品100%量产及时交付——制定产品量产导入阶段、正式量产交货阶段(产品生命周期结束为止)的所有过程中的质量控制计划和预防措施，</w:t>
      </w:r>
      <w:r>
        <w:rPr>
          <w:rFonts w:hint="eastAsia" w:ascii="宋体" w:hAnsi="宋体" w:eastAsia="宋体" w:cs="宋体"/>
          <w:b/>
          <w:color w:val="C00000"/>
        </w:rPr>
        <w:t>确保产品100%量产</w:t>
      </w:r>
      <w:r>
        <w:rPr>
          <w:rFonts w:hint="eastAsia" w:ascii="宋体" w:hAnsi="宋体" w:eastAsia="宋体" w:cs="宋体"/>
          <w:bCs/>
          <w:color w:val="auto"/>
        </w:rPr>
        <w:t>及时交付。</w:t>
      </w:r>
    </w:p>
    <w:p w14:paraId="0676B416">
      <w:pPr>
        <w:spacing w:line="440" w:lineRule="exact"/>
        <w:rPr>
          <w:rFonts w:hint="eastAsia" w:ascii="宋体" w:hAnsi="宋体" w:eastAsia="宋体" w:cs="宋体"/>
          <w:bCs/>
          <w:color w:val="auto"/>
        </w:rPr>
      </w:pPr>
      <w:r>
        <w:rPr>
          <w:rFonts w:hint="eastAsia" w:ascii="宋体" w:hAnsi="宋体" w:eastAsia="宋体" w:cs="宋体"/>
          <w:b/>
          <w:color w:val="auto"/>
          <w:shd w:val="clear" w:color="auto" w:fill="FBE4D5" w:themeFill="accent2" w:themeFillTint="33"/>
        </w:rPr>
        <w:t>成果3：</w:t>
      </w:r>
      <w:r>
        <w:rPr>
          <w:rFonts w:hint="eastAsia" w:ascii="宋体" w:hAnsi="宋体" w:eastAsia="宋体" w:cs="宋体"/>
          <w:bCs/>
          <w:color w:val="auto"/>
        </w:rPr>
        <w:t>主导歌尔越南工厂建厂——期间从国内样板工厂，将成熟的工艺及组织团队及复制到国外子公司，为歌尔建立海外生产工厂。</w:t>
      </w:r>
    </w:p>
    <w:p w14:paraId="12E76C16">
      <w:pPr>
        <w:rPr>
          <w:rFonts w:hint="eastAsia" w:ascii="宋体" w:hAnsi="宋体" w:eastAsia="宋体" w:cs="宋体"/>
          <w:bCs/>
          <w:color w:val="808080" w:themeColor="background1" w:themeShade="80"/>
          <w:sz w:val="20"/>
        </w:rPr>
      </w:pPr>
    </w:p>
    <w:p w14:paraId="532A5564">
      <w:pPr>
        <w:rPr>
          <w:rFonts w:hint="eastAsia" w:ascii="宋体" w:hAnsi="宋体" w:eastAsia="宋体" w:cs="宋体"/>
          <w:b/>
          <w:color w:val="auto"/>
        </w:rPr>
      </w:pPr>
      <w:r>
        <w:rPr>
          <w:rFonts w:hint="eastAsia" w:ascii="宋体" w:hAnsi="宋体" w:eastAsia="宋体" w:cs="宋体"/>
          <w:b/>
          <w:color w:val="auto"/>
        </w:rPr>
        <w:t>项目经验：</w:t>
      </w:r>
    </w:p>
    <w:p w14:paraId="1A1ACF85">
      <w:pPr>
        <w:ind w:firstLine="480" w:firstLineChars="200"/>
        <w:rPr>
          <w:rFonts w:hint="eastAsia" w:ascii="宋体" w:hAnsi="宋体" w:eastAsia="宋体" w:cs="宋体"/>
          <w:bCs/>
          <w:color w:val="auto"/>
        </w:rPr>
      </w:pPr>
      <w:r>
        <w:rPr>
          <w:rFonts w:hint="eastAsia" w:ascii="宋体" w:hAnsi="宋体" w:eastAsia="宋体" w:cs="宋体"/>
          <w:bCs/>
          <w:color w:val="auto"/>
        </w:rPr>
        <w:t>刘老师曾辅导近</w:t>
      </w:r>
      <w:r>
        <w:rPr>
          <w:rFonts w:hint="eastAsia" w:ascii="宋体" w:hAnsi="宋体" w:eastAsia="宋体" w:cs="宋体"/>
          <w:b/>
          <w:color w:val="C00000"/>
        </w:rPr>
        <w:t>100家</w:t>
      </w:r>
      <w:r>
        <w:rPr>
          <w:rFonts w:hint="eastAsia" w:ascii="宋体" w:hAnsi="宋体" w:eastAsia="宋体" w:cs="宋体"/>
          <w:bCs/>
          <w:color w:val="auto"/>
        </w:rPr>
        <w:t>企业开展精益改善项目，其中7S目视化现场打造项目</w:t>
      </w:r>
      <w:r>
        <w:rPr>
          <w:rFonts w:hint="eastAsia" w:ascii="宋体" w:hAnsi="宋体" w:eastAsia="宋体" w:cs="宋体"/>
          <w:b/>
          <w:color w:val="C00000"/>
        </w:rPr>
        <w:t>30+个</w:t>
      </w:r>
      <w:r>
        <w:rPr>
          <w:rFonts w:hint="eastAsia" w:ascii="宋体" w:hAnsi="宋体" w:eastAsia="宋体" w:cs="宋体"/>
          <w:bCs/>
          <w:color w:val="auto"/>
        </w:rPr>
        <w:t>，并通过标准化生产线建立帮助</w:t>
      </w:r>
      <w:r>
        <w:rPr>
          <w:rFonts w:hint="eastAsia" w:ascii="宋体" w:hAnsi="宋体" w:eastAsia="宋体" w:cs="宋体"/>
          <w:b/>
          <w:color w:val="C00000"/>
        </w:rPr>
        <w:t>20+家</w:t>
      </w:r>
      <w:r>
        <w:rPr>
          <w:rFonts w:hint="eastAsia" w:ascii="宋体" w:hAnsi="宋体" w:eastAsia="宋体" w:cs="宋体"/>
          <w:bCs/>
          <w:color w:val="auto"/>
        </w:rPr>
        <w:t>提升企业生产效率超50%</w:t>
      </w:r>
    </w:p>
    <w:p w14:paraId="1197F444">
      <w:pPr>
        <w:rPr>
          <w:rFonts w:hint="eastAsia" w:ascii="宋体" w:hAnsi="宋体" w:eastAsia="宋体" w:cs="宋体"/>
          <w:bCs/>
          <w:color w:val="auto"/>
        </w:rPr>
      </w:pPr>
      <w:r>
        <w:rPr>
          <w:rFonts w:hint="eastAsia" w:ascii="宋体" w:hAnsi="宋体" w:eastAsia="宋体" w:cs="宋体"/>
          <w:bCs/>
          <w:color w:val="auto"/>
        </w:rPr>
        <w:t>★ 南昌双胞胎集团【</w:t>
      </w:r>
      <w:r>
        <w:rPr>
          <w:rFonts w:hint="eastAsia" w:ascii="宋体" w:hAnsi="宋体" w:eastAsia="宋体" w:cs="宋体"/>
          <w:b/>
          <w:color w:val="C00000"/>
        </w:rPr>
        <w:t>标准化管理体系项目</w:t>
      </w:r>
      <w:r>
        <w:rPr>
          <w:rFonts w:hint="eastAsia" w:ascii="宋体" w:hAnsi="宋体" w:eastAsia="宋体" w:cs="宋体"/>
          <w:bCs/>
          <w:color w:val="auto"/>
        </w:rPr>
        <w:t>】，为企业减少</w:t>
      </w:r>
      <w:r>
        <w:rPr>
          <w:rFonts w:hint="eastAsia" w:ascii="宋体" w:hAnsi="宋体" w:eastAsia="宋体" w:cs="宋体"/>
          <w:b/>
          <w:color w:val="C00000"/>
        </w:rPr>
        <w:t>损失300万元</w:t>
      </w:r>
      <w:r>
        <w:rPr>
          <w:rFonts w:hint="eastAsia" w:ascii="宋体" w:hAnsi="宋体" w:eastAsia="宋体" w:cs="宋体"/>
          <w:bCs/>
          <w:color w:val="auto"/>
        </w:rPr>
        <w:t>，年度有价值改善超</w:t>
      </w:r>
      <w:r>
        <w:rPr>
          <w:rFonts w:hint="eastAsia" w:ascii="宋体" w:hAnsi="宋体" w:eastAsia="宋体" w:cs="宋体"/>
          <w:b/>
          <w:color w:val="C00000"/>
        </w:rPr>
        <w:t>500万元</w:t>
      </w:r>
      <w:r>
        <w:rPr>
          <w:rFonts w:hint="eastAsia" w:ascii="宋体" w:hAnsi="宋体" w:eastAsia="宋体" w:cs="宋体"/>
          <w:bCs/>
          <w:color w:val="auto"/>
        </w:rPr>
        <w:t>。</w:t>
      </w:r>
    </w:p>
    <w:p w14:paraId="0D828B1B">
      <w:pPr>
        <w:ind w:firstLine="480" w:firstLineChars="200"/>
        <w:rPr>
          <w:rFonts w:hint="eastAsia" w:ascii="宋体" w:hAnsi="宋体" w:eastAsia="宋体" w:cs="宋体"/>
          <w:bCs/>
          <w:color w:val="auto"/>
        </w:rPr>
      </w:pPr>
      <w:r>
        <w:rPr>
          <w:rFonts w:hint="eastAsia" w:ascii="宋体" w:hAnsi="宋体" w:eastAsia="宋体" w:cs="宋体"/>
          <w:bCs/>
          <w:color w:val="auto"/>
        </w:rPr>
        <w:t>辅导企业梳理生产运营流程，通过数据体系、文件体系、持续改善体系、组织体系建立，实现企业的现场目视化管理、质量标准化作业，通过一年辅导</w:t>
      </w:r>
      <w:r>
        <w:rPr>
          <w:rFonts w:hint="eastAsia" w:ascii="宋体" w:hAnsi="宋体" w:eastAsia="宋体" w:cs="宋体"/>
          <w:b/>
          <w:color w:val="C00000"/>
        </w:rPr>
        <w:t>产品标准化率90%以上</w:t>
      </w:r>
      <w:r>
        <w:rPr>
          <w:rFonts w:hint="eastAsia" w:ascii="宋体" w:hAnsi="宋体" w:eastAsia="宋体" w:cs="宋体"/>
          <w:bCs/>
          <w:color w:val="auto"/>
        </w:rPr>
        <w:t>，现场</w:t>
      </w:r>
      <w:r>
        <w:rPr>
          <w:rFonts w:hint="eastAsia" w:ascii="宋体" w:hAnsi="宋体" w:eastAsia="宋体" w:cs="宋体"/>
          <w:b/>
          <w:color w:val="C00000"/>
        </w:rPr>
        <w:t>目视化98%以上</w:t>
      </w:r>
      <w:r>
        <w:rPr>
          <w:rFonts w:hint="eastAsia" w:ascii="宋体" w:hAnsi="宋体" w:eastAsia="宋体" w:cs="宋体"/>
          <w:bCs/>
          <w:color w:val="auto"/>
        </w:rPr>
        <w:t>。</w:t>
      </w:r>
    </w:p>
    <w:p w14:paraId="641F3956">
      <w:pPr>
        <w:rPr>
          <w:rFonts w:hint="eastAsia" w:ascii="宋体" w:hAnsi="宋体" w:eastAsia="宋体" w:cs="宋体"/>
          <w:bCs/>
          <w:color w:val="auto"/>
        </w:rPr>
      </w:pPr>
      <w:r>
        <w:rPr>
          <w:rFonts w:hint="eastAsia" w:ascii="宋体" w:hAnsi="宋体" w:eastAsia="宋体" w:cs="宋体"/>
          <w:bCs/>
          <w:color w:val="auto"/>
        </w:rPr>
        <w:t>★ 泰晶科技股份【</w:t>
      </w:r>
      <w:r>
        <w:rPr>
          <w:rFonts w:hint="eastAsia" w:ascii="宋体" w:hAnsi="宋体" w:eastAsia="宋体" w:cs="宋体"/>
          <w:b/>
          <w:color w:val="C00000"/>
        </w:rPr>
        <w:t>生产标准化管理项目</w:t>
      </w:r>
      <w:r>
        <w:rPr>
          <w:rFonts w:hint="eastAsia" w:ascii="宋体" w:hAnsi="宋体" w:eastAsia="宋体" w:cs="宋体"/>
          <w:bCs/>
          <w:color w:val="000000" w:themeColor="text1"/>
          <w14:textFill>
            <w14:solidFill>
              <w14:schemeClr w14:val="tx1"/>
            </w14:solidFill>
          </w14:textFill>
        </w:rPr>
        <w:t>】</w:t>
      </w:r>
      <w:r>
        <w:rPr>
          <w:rFonts w:hint="eastAsia" w:ascii="宋体" w:hAnsi="宋体" w:eastAsia="宋体" w:cs="宋体"/>
          <w:bCs/>
          <w:color w:val="auto"/>
        </w:rPr>
        <w:t>，为企业</w:t>
      </w:r>
      <w:r>
        <w:rPr>
          <w:rFonts w:hint="eastAsia" w:ascii="宋体" w:hAnsi="宋体" w:eastAsia="宋体" w:cs="宋体"/>
          <w:b/>
          <w:color w:val="C00000"/>
        </w:rPr>
        <w:t>节约成本300万元</w:t>
      </w:r>
    </w:p>
    <w:p w14:paraId="1CE790BB">
      <w:pPr>
        <w:ind w:firstLine="480" w:firstLineChars="200"/>
        <w:rPr>
          <w:rFonts w:hint="eastAsia" w:ascii="宋体" w:hAnsi="宋体" w:eastAsia="宋体" w:cs="宋体"/>
          <w:bCs/>
          <w:color w:val="auto"/>
        </w:rPr>
      </w:pPr>
      <w:r>
        <w:rPr>
          <w:rFonts w:hint="eastAsia" w:ascii="宋体" w:hAnsi="宋体" w:eastAsia="宋体" w:cs="宋体"/>
          <w:bCs/>
          <w:color w:val="auto"/>
        </w:rPr>
        <w:t>辅导企业开展现场6S改善、生产运营流程与数据体系建设、班组绩效与薪酬体系设计，为企业构建现场的目视化管理、打造日事日毕的生产班组，降低企业人员流失率</w:t>
      </w:r>
      <w:r>
        <w:rPr>
          <w:rFonts w:hint="eastAsia" w:ascii="宋体" w:hAnsi="宋体" w:eastAsia="宋体" w:cs="宋体"/>
          <w:b/>
          <w:color w:val="C00000"/>
        </w:rPr>
        <w:t>降低40%</w:t>
      </w:r>
      <w:r>
        <w:rPr>
          <w:rFonts w:hint="eastAsia" w:ascii="宋体" w:hAnsi="宋体" w:eastAsia="宋体" w:cs="宋体"/>
          <w:bCs/>
          <w:color w:val="auto"/>
        </w:rPr>
        <w:t>，提升员工工作</w:t>
      </w:r>
      <w:r>
        <w:rPr>
          <w:rFonts w:hint="eastAsia" w:ascii="宋体" w:hAnsi="宋体" w:eastAsia="宋体" w:cs="宋体"/>
          <w:b/>
          <w:color w:val="C00000"/>
        </w:rPr>
        <w:t>效率30%</w:t>
      </w:r>
      <w:r>
        <w:rPr>
          <w:rFonts w:hint="eastAsia" w:ascii="宋体" w:hAnsi="宋体" w:eastAsia="宋体" w:cs="宋体"/>
          <w:bCs/>
          <w:color w:val="auto"/>
        </w:rPr>
        <w:t>，改善节约</w:t>
      </w:r>
      <w:r>
        <w:rPr>
          <w:rFonts w:hint="eastAsia" w:ascii="宋体" w:hAnsi="宋体" w:eastAsia="宋体" w:cs="宋体"/>
          <w:b/>
          <w:color w:val="C00000"/>
        </w:rPr>
        <w:t>成本300万元</w:t>
      </w:r>
      <w:r>
        <w:rPr>
          <w:rFonts w:hint="eastAsia" w:ascii="宋体" w:hAnsi="宋体" w:eastAsia="宋体" w:cs="宋体"/>
          <w:bCs/>
          <w:color w:val="auto"/>
        </w:rPr>
        <w:t>。</w:t>
      </w:r>
    </w:p>
    <w:p w14:paraId="7AA80C67">
      <w:pPr>
        <w:rPr>
          <w:rFonts w:hint="eastAsia" w:ascii="宋体" w:hAnsi="宋体" w:eastAsia="宋体" w:cs="宋体"/>
          <w:bCs/>
          <w:color w:val="auto"/>
        </w:rPr>
      </w:pPr>
      <w:r>
        <w:rPr>
          <w:rFonts w:hint="eastAsia" w:ascii="宋体" w:hAnsi="宋体" w:eastAsia="宋体" w:cs="宋体"/>
          <w:bCs/>
          <w:color w:val="auto"/>
        </w:rPr>
        <w:t>★ 牧原股份【精益 TPM+7S 管理项目】，为企业节约质量成本</w:t>
      </w:r>
      <w:r>
        <w:rPr>
          <w:rFonts w:hint="eastAsia" w:ascii="宋体" w:hAnsi="宋体" w:eastAsia="宋体" w:cs="宋体"/>
          <w:b/>
          <w:color w:val="C00000"/>
        </w:rPr>
        <w:t>200万元/年</w:t>
      </w:r>
    </w:p>
    <w:p w14:paraId="1BF0CDA5">
      <w:pPr>
        <w:ind w:firstLine="480" w:firstLineChars="200"/>
        <w:rPr>
          <w:rFonts w:hint="eastAsia" w:ascii="宋体" w:hAnsi="宋体" w:eastAsia="宋体" w:cs="宋体"/>
          <w:bCs/>
          <w:color w:val="auto"/>
        </w:rPr>
      </w:pPr>
      <w:r>
        <w:rPr>
          <w:rFonts w:hint="eastAsia" w:ascii="宋体" w:hAnsi="宋体" w:eastAsia="宋体" w:cs="宋体"/>
          <w:bCs/>
          <w:color w:val="auto"/>
        </w:rPr>
        <w:t>辅导企业开展现场目视化与班组建设，组织系统、PMC 生产系统、全员提案体系建设等，为企业</w:t>
      </w:r>
      <w:r>
        <w:rPr>
          <w:rFonts w:hint="eastAsia" w:ascii="宋体" w:hAnsi="宋体" w:eastAsia="宋体" w:cs="宋体"/>
          <w:b/>
          <w:color w:val="C00000"/>
        </w:rPr>
        <w:t>提升设备利用率20%</w:t>
      </w:r>
      <w:r>
        <w:rPr>
          <w:rFonts w:hint="eastAsia" w:ascii="宋体" w:hAnsi="宋体" w:eastAsia="宋体" w:cs="宋体"/>
          <w:bCs/>
          <w:color w:val="auto"/>
        </w:rPr>
        <w:t>，产品合格率</w:t>
      </w:r>
      <w:r>
        <w:rPr>
          <w:rFonts w:hint="eastAsia" w:ascii="宋体" w:hAnsi="宋体" w:eastAsia="宋体" w:cs="宋体"/>
          <w:b/>
          <w:color w:val="C00000"/>
        </w:rPr>
        <w:t>由80%提至98.5%</w:t>
      </w:r>
      <w:r>
        <w:rPr>
          <w:rFonts w:hint="eastAsia" w:ascii="宋体" w:hAnsi="宋体" w:eastAsia="宋体" w:cs="宋体"/>
          <w:bCs/>
          <w:color w:val="auto"/>
        </w:rPr>
        <w:t>，质量成本节约</w:t>
      </w:r>
      <w:r>
        <w:rPr>
          <w:rFonts w:hint="eastAsia" w:ascii="宋体" w:hAnsi="宋体" w:eastAsia="宋体" w:cs="宋体"/>
          <w:b/>
          <w:color w:val="C00000"/>
        </w:rPr>
        <w:t>年/500万元</w:t>
      </w:r>
      <w:r>
        <w:rPr>
          <w:rFonts w:hint="eastAsia" w:ascii="宋体" w:hAnsi="宋体" w:eastAsia="宋体" w:cs="宋体"/>
          <w:bCs/>
          <w:color w:val="auto"/>
        </w:rPr>
        <w:t>。</w:t>
      </w:r>
    </w:p>
    <w:p w14:paraId="000E0119">
      <w:pPr>
        <w:rPr>
          <w:rFonts w:hint="eastAsia" w:ascii="宋体" w:hAnsi="宋体" w:eastAsia="宋体" w:cs="宋体"/>
          <w:bCs/>
          <w:color w:val="auto"/>
        </w:rPr>
      </w:pPr>
      <w:r>
        <w:rPr>
          <w:rFonts w:hint="eastAsia" w:ascii="宋体" w:hAnsi="宋体" w:eastAsia="宋体" w:cs="宋体"/>
          <w:bCs/>
          <w:color w:val="auto"/>
        </w:rPr>
        <w:t>★ 钱江摩托【精益生产现场及班组打造项目】实现产量</w:t>
      </w:r>
      <w:r>
        <w:rPr>
          <w:rFonts w:hint="eastAsia" w:ascii="宋体" w:hAnsi="宋体" w:eastAsia="宋体" w:cs="宋体"/>
          <w:b/>
          <w:color w:val="C00000"/>
        </w:rPr>
        <w:t>200→260台（30%）的提升</w:t>
      </w:r>
    </w:p>
    <w:p w14:paraId="344CBA81">
      <w:pPr>
        <w:ind w:firstLine="240" w:firstLineChars="100"/>
        <w:rPr>
          <w:rFonts w:hint="eastAsia" w:ascii="宋体" w:hAnsi="宋体" w:eastAsia="宋体" w:cs="宋体"/>
          <w:bCs/>
          <w:color w:val="auto"/>
        </w:rPr>
      </w:pPr>
      <w:r>
        <w:rPr>
          <w:rFonts w:hint="eastAsia" w:ascii="宋体" w:hAnsi="宋体" w:eastAsia="宋体" w:cs="宋体"/>
          <w:bCs/>
          <w:color w:val="auto"/>
        </w:rPr>
        <w:t>为企业梳理生产管理流程，建立了PMC生产系统（包括开展生产协调会，制定订单管控、产能管控、物流管控）、TQM系统（包括SQM、IPQC、WIP的过程控制、QCC品管圈建立）和现场目视化与五型班组，实现50+班组长通过技能鉴定，企业</w:t>
      </w:r>
      <w:r>
        <w:rPr>
          <w:rFonts w:hint="eastAsia" w:ascii="宋体" w:hAnsi="宋体" w:eastAsia="宋体" w:cs="宋体"/>
          <w:b/>
          <w:color w:val="C00000"/>
        </w:rPr>
        <w:t>计划达成率提升30%，产量200→260台/天的提升</w:t>
      </w:r>
      <w:r>
        <w:rPr>
          <w:rFonts w:hint="eastAsia" w:ascii="宋体" w:hAnsi="宋体" w:eastAsia="宋体" w:cs="宋体"/>
          <w:bCs/>
          <w:color w:val="auto"/>
        </w:rPr>
        <w:t>。</w:t>
      </w:r>
    </w:p>
    <w:p w14:paraId="7E9BB6F6">
      <w:pPr>
        <w:rPr>
          <w:rFonts w:hint="eastAsia" w:ascii="宋体" w:hAnsi="宋体" w:eastAsia="宋体" w:cs="宋体"/>
          <w:b/>
          <w:color w:val="C00000"/>
        </w:rPr>
      </w:pPr>
      <w:r>
        <w:rPr>
          <w:rFonts w:hint="eastAsia" w:ascii="宋体" w:hAnsi="宋体" w:eastAsia="宋体" w:cs="宋体"/>
          <w:bCs/>
          <w:color w:val="auto"/>
        </w:rPr>
        <w:t>★ 双汇集团【管理流程构造项目】，提升企业管理效率</w:t>
      </w:r>
      <w:r>
        <w:rPr>
          <w:rFonts w:hint="eastAsia" w:ascii="宋体" w:hAnsi="宋体" w:eastAsia="宋体" w:cs="宋体"/>
          <w:b/>
          <w:color w:val="C00000"/>
        </w:rPr>
        <w:t>30%，节约成本500万元/年</w:t>
      </w:r>
    </w:p>
    <w:p w14:paraId="36C6E983">
      <w:pPr>
        <w:ind w:firstLine="480" w:firstLineChars="200"/>
        <w:rPr>
          <w:rFonts w:hint="eastAsia" w:ascii="宋体" w:hAnsi="宋体" w:eastAsia="宋体" w:cs="宋体"/>
          <w:bCs/>
          <w:color w:val="auto"/>
        </w:rPr>
      </w:pPr>
      <w:r>
        <w:rPr>
          <w:rFonts w:hint="eastAsia" w:ascii="宋体" w:hAnsi="宋体" w:eastAsia="宋体" w:cs="宋体"/>
          <w:bCs/>
          <w:color w:val="auto"/>
        </w:rPr>
        <w:t>辅导企业梳理构建四大流程（产品研发流程、供应链流程、生产运营流程、管理系统流程），同时协助企业成立“稽核中心”，建立流程运营的监督机制，使流程持续有效的“动态”运营，输出流程再造208例，标准文件输出802份。</w:t>
      </w:r>
    </w:p>
    <w:p w14:paraId="07F92108">
      <w:pPr>
        <w:rPr>
          <w:rFonts w:hint="eastAsia" w:ascii="宋体" w:hAnsi="宋体" w:eastAsia="宋体" w:cs="宋体"/>
          <w:bCs/>
          <w:color w:val="auto"/>
        </w:rPr>
      </w:pPr>
    </w:p>
    <w:p w14:paraId="7B74EC98">
      <w:pPr>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主讲课程：</w:t>
      </w:r>
    </w:p>
    <w:p w14:paraId="4FA5885E">
      <w:pPr>
        <w:rPr>
          <w:rFonts w:hint="eastAsia" w:ascii="宋体" w:hAnsi="宋体" w:eastAsia="宋体" w:cs="宋体"/>
          <w:bCs/>
          <w:color w:val="auto"/>
        </w:rPr>
      </w:pPr>
      <w:r>
        <w:rPr>
          <w:rFonts w:hint="eastAsia" w:ascii="宋体" w:hAnsi="宋体" w:eastAsia="宋体" w:cs="宋体"/>
          <w:bCs/>
          <w:color w:val="auto"/>
        </w:rPr>
        <w:t>《打造金牌班组长》</w:t>
      </w:r>
    </w:p>
    <w:p w14:paraId="288DA554">
      <w:pPr>
        <w:rPr>
          <w:rFonts w:hint="eastAsia" w:ascii="宋体" w:hAnsi="宋体" w:eastAsia="宋体" w:cs="宋体"/>
          <w:bCs/>
          <w:color w:val="auto"/>
        </w:rPr>
      </w:pPr>
      <w:r>
        <w:rPr>
          <w:rFonts w:hint="eastAsia" w:ascii="宋体" w:hAnsi="宋体" w:eastAsia="宋体" w:cs="宋体"/>
          <w:bCs/>
          <w:color w:val="auto"/>
        </w:rPr>
        <w:t>《TQM</w:t>
      </w:r>
      <w:r>
        <w:rPr>
          <w:rFonts w:hint="eastAsia" w:cs="宋体"/>
          <w:bCs/>
          <w:color w:val="auto"/>
          <w:lang w:eastAsia="zh-CN"/>
        </w:rPr>
        <w:t>——</w:t>
      </w:r>
      <w:r>
        <w:rPr>
          <w:rFonts w:hint="eastAsia" w:ascii="宋体" w:hAnsi="宋体" w:eastAsia="宋体" w:cs="宋体"/>
          <w:bCs/>
          <w:color w:val="auto"/>
        </w:rPr>
        <w:t>全面质量管理》</w:t>
      </w:r>
    </w:p>
    <w:p w14:paraId="5D0C43FB">
      <w:pPr>
        <w:rPr>
          <w:rFonts w:hint="eastAsia" w:ascii="宋体" w:hAnsi="宋体" w:eastAsia="宋体" w:cs="宋体"/>
          <w:bCs/>
          <w:color w:val="auto"/>
        </w:rPr>
      </w:pPr>
      <w:r>
        <w:rPr>
          <w:rFonts w:hint="eastAsia" w:ascii="宋体" w:hAnsi="宋体" w:eastAsia="宋体" w:cs="宋体"/>
          <w:bCs/>
          <w:color w:val="auto"/>
        </w:rPr>
        <w:t>《TPS</w:t>
      </w:r>
      <w:r>
        <w:rPr>
          <w:rFonts w:hint="eastAsia" w:cs="宋体"/>
          <w:bCs/>
          <w:color w:val="auto"/>
          <w:lang w:eastAsia="zh-CN"/>
        </w:rPr>
        <w:t>——</w:t>
      </w:r>
      <w:r>
        <w:rPr>
          <w:rFonts w:hint="eastAsia" w:ascii="宋体" w:hAnsi="宋体" w:eastAsia="宋体" w:cs="宋体"/>
          <w:bCs/>
          <w:color w:val="auto"/>
        </w:rPr>
        <w:t>精益生产管理》</w:t>
      </w:r>
    </w:p>
    <w:p w14:paraId="3A98E46D">
      <w:pPr>
        <w:rPr>
          <w:rFonts w:hint="eastAsia" w:ascii="宋体" w:hAnsi="宋体" w:eastAsia="宋体" w:cs="宋体"/>
          <w:bCs/>
          <w:color w:val="auto"/>
        </w:rPr>
      </w:pPr>
      <w:r>
        <w:rPr>
          <w:rFonts w:hint="eastAsia" w:ascii="宋体" w:hAnsi="宋体" w:eastAsia="宋体" w:cs="宋体"/>
          <w:bCs/>
          <w:color w:val="auto"/>
        </w:rPr>
        <w:t>《TPM</w:t>
      </w:r>
      <w:r>
        <w:rPr>
          <w:rFonts w:hint="eastAsia" w:cs="宋体"/>
          <w:bCs/>
          <w:color w:val="auto"/>
          <w:lang w:eastAsia="zh-CN"/>
        </w:rPr>
        <w:t>——</w:t>
      </w:r>
      <w:r>
        <w:rPr>
          <w:rFonts w:hint="eastAsia" w:ascii="宋体" w:hAnsi="宋体" w:eastAsia="宋体" w:cs="宋体"/>
          <w:bCs/>
          <w:color w:val="auto"/>
        </w:rPr>
        <w:t>全员设备保养》</w:t>
      </w:r>
    </w:p>
    <w:p w14:paraId="16800730">
      <w:pPr>
        <w:rPr>
          <w:rFonts w:hint="eastAsia" w:ascii="宋体" w:hAnsi="宋体" w:eastAsia="宋体" w:cs="宋体"/>
          <w:bCs/>
          <w:color w:val="auto"/>
        </w:rPr>
      </w:pPr>
      <w:r>
        <w:rPr>
          <w:rFonts w:hint="eastAsia" w:ascii="宋体" w:hAnsi="宋体" w:eastAsia="宋体" w:cs="宋体"/>
          <w:bCs/>
          <w:color w:val="auto"/>
        </w:rPr>
        <w:t>《IE七大手法》</w:t>
      </w:r>
    </w:p>
    <w:p w14:paraId="48A06AE5">
      <w:pPr>
        <w:rPr>
          <w:rFonts w:hint="eastAsia" w:ascii="宋体" w:hAnsi="宋体" w:eastAsia="宋体" w:cs="宋体"/>
          <w:bCs/>
          <w:color w:val="auto"/>
        </w:rPr>
      </w:pPr>
      <w:r>
        <w:rPr>
          <w:rFonts w:hint="eastAsia" w:ascii="宋体" w:hAnsi="宋体" w:eastAsia="宋体" w:cs="宋体"/>
          <w:bCs/>
          <w:color w:val="auto"/>
        </w:rPr>
        <w:t>《新旧QC七大手法》</w:t>
      </w:r>
    </w:p>
    <w:p w14:paraId="4D319E58">
      <w:pPr>
        <w:rPr>
          <w:rFonts w:hint="eastAsia" w:ascii="宋体" w:hAnsi="宋体" w:eastAsia="宋体" w:cs="宋体"/>
          <w:bCs/>
          <w:color w:val="auto"/>
        </w:rPr>
      </w:pPr>
      <w:r>
        <w:rPr>
          <w:rFonts w:hint="eastAsia" w:ascii="宋体" w:hAnsi="宋体" w:eastAsia="宋体" w:cs="宋体"/>
          <w:bCs/>
          <w:color w:val="auto"/>
        </w:rPr>
        <w:t>《PMC</w:t>
      </w:r>
      <w:r>
        <w:rPr>
          <w:rFonts w:hint="eastAsia" w:cs="宋体"/>
          <w:bCs/>
          <w:color w:val="auto"/>
          <w:lang w:eastAsia="zh-CN"/>
        </w:rPr>
        <w:t>——</w:t>
      </w:r>
      <w:r>
        <w:rPr>
          <w:rFonts w:hint="eastAsia" w:ascii="宋体" w:hAnsi="宋体" w:eastAsia="宋体" w:cs="宋体"/>
          <w:bCs/>
          <w:color w:val="auto"/>
        </w:rPr>
        <w:t>生产计划与物料控制》</w:t>
      </w:r>
    </w:p>
    <w:p w14:paraId="71A33D95">
      <w:pPr>
        <w:rPr>
          <w:rFonts w:hint="eastAsia" w:ascii="宋体" w:hAnsi="宋体" w:eastAsia="宋体" w:cs="宋体"/>
          <w:bCs/>
          <w:color w:val="auto"/>
        </w:rPr>
      </w:pPr>
      <w:r>
        <w:rPr>
          <w:rFonts w:hint="eastAsia" w:ascii="宋体" w:hAnsi="宋体" w:eastAsia="宋体" w:cs="宋体"/>
          <w:bCs/>
          <w:color w:val="auto"/>
        </w:rPr>
        <w:t>《TWI</w:t>
      </w:r>
      <w:r>
        <w:rPr>
          <w:rFonts w:hint="eastAsia" w:cs="宋体"/>
          <w:bCs/>
          <w:color w:val="auto"/>
          <w:lang w:eastAsia="zh-CN"/>
        </w:rPr>
        <w:t>——</w:t>
      </w:r>
      <w:r>
        <w:rPr>
          <w:rFonts w:hint="eastAsia" w:ascii="宋体" w:hAnsi="宋体" w:eastAsia="宋体" w:cs="宋体"/>
          <w:bCs/>
          <w:color w:val="auto"/>
        </w:rPr>
        <w:t>一线主管技能提升</w:t>
      </w:r>
      <w:bookmarkStart w:id="1" w:name="_GoBack"/>
      <w:bookmarkEnd w:id="1"/>
      <w:r>
        <w:rPr>
          <w:rFonts w:hint="eastAsia" w:ascii="宋体" w:hAnsi="宋体" w:eastAsia="宋体" w:cs="宋体"/>
          <w:bCs/>
          <w:color w:val="auto"/>
        </w:rPr>
        <w:t>》</w:t>
      </w:r>
    </w:p>
    <w:p w14:paraId="5F552460">
      <w:pPr>
        <w:rPr>
          <w:rFonts w:hint="eastAsia" w:ascii="宋体" w:hAnsi="宋体" w:eastAsia="宋体" w:cs="宋体"/>
          <w:b/>
          <w:color w:val="auto"/>
        </w:rPr>
      </w:pPr>
    </w:p>
    <w:p w14:paraId="3438D549">
      <w:pPr>
        <w:spacing w:line="440" w:lineRule="exact"/>
        <w:rPr>
          <w:rFonts w:hint="eastAsia" w:ascii="宋体" w:hAnsi="宋体" w:eastAsia="宋体" w:cs="宋体"/>
          <w:color w:val="auto"/>
        </w:rPr>
      </w:pPr>
      <w:r>
        <w:rPr>
          <w:rFonts w:hint="eastAsia" w:ascii="宋体" w:hAnsi="宋体" w:eastAsia="宋体" w:cs="宋体"/>
          <w:b/>
          <w:color w:val="auto"/>
        </w:rPr>
        <w:t>授课方式：</w:t>
      </w:r>
      <w:r>
        <w:rPr>
          <w:rFonts w:hint="eastAsia" w:ascii="宋体" w:hAnsi="宋体" w:eastAsia="宋体" w:cs="宋体"/>
          <w:color w:val="auto"/>
        </w:rPr>
        <w:t>让每一位参加培训的学员都有将自己实际工作中的案例进行现场演练的机会，同时由老师现场指导、点评其存在的问题并当场修正学员正确的做法。</w:t>
      </w:r>
    </w:p>
    <w:p w14:paraId="0489CE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b/>
          <w:color w:val="auto"/>
        </w:rPr>
      </w:pPr>
      <w:r>
        <w:rPr>
          <w:rFonts w:hint="eastAsia" w:ascii="宋体" w:hAnsi="宋体" w:eastAsia="宋体" w:cs="宋体"/>
          <w:color w:val="auto"/>
          <w:sz w:val="21"/>
          <w:szCs w:val="20"/>
        </w:rPr>
        <w:drawing>
          <wp:inline distT="0" distB="0" distL="114300" distR="114300">
            <wp:extent cx="5097780" cy="2686050"/>
            <wp:effectExtent l="0" t="0" r="7620" b="0"/>
            <wp:docPr id="9551537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53768" name="图片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5097780" cy="2686050"/>
                    </a:xfrm>
                    <a:prstGeom prst="rect">
                      <a:avLst/>
                    </a:prstGeom>
                    <a:noFill/>
                  </pic:spPr>
                </pic:pic>
              </a:graphicData>
            </a:graphic>
          </wp:inline>
        </w:drawing>
      </w:r>
    </w:p>
    <w:p w14:paraId="6EFE37C6">
      <w:pPr>
        <w:spacing w:line="440" w:lineRule="exact"/>
        <w:rPr>
          <w:rFonts w:hint="eastAsia" w:ascii="宋体" w:hAnsi="宋体" w:eastAsia="宋体" w:cs="宋体"/>
          <w:b/>
          <w:color w:val="auto"/>
        </w:rPr>
      </w:pPr>
    </w:p>
    <w:p w14:paraId="1E7E7504">
      <w:pPr>
        <w:spacing w:line="440" w:lineRule="exact"/>
        <w:rPr>
          <w:rFonts w:hint="eastAsia" w:ascii="宋体" w:hAnsi="宋体" w:eastAsia="宋体" w:cs="宋体"/>
          <w:b/>
          <w:color w:val="auto"/>
        </w:rPr>
      </w:pPr>
      <w:r>
        <w:rPr>
          <w:rFonts w:hint="eastAsia" w:ascii="宋体" w:hAnsi="宋体" w:eastAsia="宋体" w:cs="宋体"/>
          <w:b/>
          <w:color w:val="auto"/>
        </w:rPr>
        <w:t>授课风格：</w:t>
      </w:r>
    </w:p>
    <w:p w14:paraId="745BE5E7">
      <w:pPr>
        <w:spacing w:line="440" w:lineRule="exact"/>
        <w:rPr>
          <w:rFonts w:hint="eastAsia" w:ascii="宋体" w:hAnsi="宋体" w:eastAsia="宋体" w:cs="宋体"/>
          <w:bCs/>
          <w:color w:val="auto"/>
        </w:rPr>
      </w:pPr>
      <w:r>
        <w:rPr>
          <w:rFonts w:hint="eastAsia" w:ascii="宋体" w:hAnsi="宋体" w:eastAsia="宋体" w:cs="宋体"/>
          <w:b/>
          <w:color w:val="C00000"/>
        </w:rPr>
        <w:t>形象生动，激发学员兴趣：</w:t>
      </w:r>
      <w:r>
        <w:rPr>
          <w:rFonts w:hint="eastAsia" w:ascii="宋体" w:hAnsi="宋体" w:eastAsia="宋体" w:cs="宋体"/>
          <w:bCs/>
          <w:color w:val="auto"/>
        </w:rPr>
        <w:t>通过形象的感性材料开展演示练习，引起学习的兴趣，激发学员思维活动，发展观察力、想象力和思维能力</w:t>
      </w:r>
    </w:p>
    <w:p w14:paraId="048FCBC1">
      <w:pPr>
        <w:spacing w:line="440" w:lineRule="exact"/>
        <w:rPr>
          <w:rFonts w:hint="eastAsia" w:ascii="宋体" w:hAnsi="宋体" w:eastAsia="宋体" w:cs="宋体"/>
          <w:bCs/>
          <w:color w:val="auto"/>
        </w:rPr>
      </w:pPr>
      <w:r>
        <w:rPr>
          <w:rFonts w:hint="eastAsia" w:ascii="宋体" w:hAnsi="宋体" w:eastAsia="宋体" w:cs="宋体"/>
          <w:b/>
          <w:color w:val="C00000"/>
        </w:rPr>
        <w:t>直观易学，掌握专业知识：</w:t>
      </w:r>
      <w:r>
        <w:rPr>
          <w:rFonts w:hint="eastAsia" w:ascii="宋体" w:hAnsi="宋体" w:eastAsia="宋体" w:cs="宋体"/>
          <w:bCs/>
          <w:color w:val="auto"/>
        </w:rPr>
        <w:t>通过浅显易懂的语句词语，讲出知识点，借用大量的比喻、模拟、演示，让学员充分理解专业的知识内容。</w:t>
      </w:r>
    </w:p>
    <w:p w14:paraId="1B884FE8">
      <w:pPr>
        <w:spacing w:line="440" w:lineRule="exact"/>
        <w:rPr>
          <w:rFonts w:hint="eastAsia" w:ascii="宋体" w:hAnsi="宋体" w:eastAsia="宋体" w:cs="宋体"/>
          <w:bCs/>
          <w:color w:val="auto"/>
        </w:rPr>
      </w:pPr>
      <w:r>
        <w:rPr>
          <w:rFonts w:hint="eastAsia" w:ascii="宋体" w:hAnsi="宋体" w:eastAsia="宋体" w:cs="宋体"/>
          <w:b/>
          <w:color w:val="C00000"/>
        </w:rPr>
        <w:t>实战落地，打造能力技巧：</w:t>
      </w:r>
      <w:r>
        <w:rPr>
          <w:rFonts w:hint="eastAsia" w:ascii="宋体" w:hAnsi="宋体" w:eastAsia="宋体" w:cs="宋体"/>
          <w:bCs/>
          <w:color w:val="auto"/>
        </w:rPr>
        <w:t>指导学员完成一定动作或活动方式，借以形成技能、技巧或行为习惯，将所学知识深入理解、记忆和巩固。</w:t>
      </w:r>
    </w:p>
    <w:p w14:paraId="576E31E0">
      <w:pPr>
        <w:spacing w:line="440" w:lineRule="exact"/>
        <w:rPr>
          <w:rFonts w:hint="eastAsia" w:ascii="宋体" w:hAnsi="宋体" w:eastAsia="宋体" w:cs="宋体"/>
          <w:bCs/>
          <w:color w:val="auto"/>
        </w:rPr>
      </w:pPr>
      <w:r>
        <w:rPr>
          <w:rFonts w:hint="eastAsia" w:ascii="宋体" w:hAnsi="宋体" w:eastAsia="宋体" w:cs="宋体"/>
          <w:b/>
          <w:color w:val="C00000"/>
        </w:rPr>
        <w:t>问题出发，解决企业痛点：</w:t>
      </w:r>
      <w:r>
        <w:rPr>
          <w:rFonts w:hint="eastAsia" w:ascii="宋体" w:hAnsi="宋体" w:eastAsia="宋体" w:cs="宋体"/>
          <w:bCs/>
          <w:color w:val="auto"/>
        </w:rPr>
        <w:t>采用活生生的案例使学员乐于参与课堂，变学员被动为主动，将学员解决问题能力的提高融入到知识传授中，有利于使学员参与企业实际问题的解决；</w:t>
      </w:r>
    </w:p>
    <w:p w14:paraId="75598E86">
      <w:pPr>
        <w:spacing w:line="440" w:lineRule="exact"/>
        <w:rPr>
          <w:rFonts w:hint="eastAsia" w:ascii="宋体" w:hAnsi="宋体" w:eastAsia="宋体" w:cs="宋体"/>
          <w:b/>
          <w:color w:val="auto"/>
        </w:rPr>
      </w:pPr>
    </w:p>
    <w:p w14:paraId="6DC4A4CE">
      <w:pPr>
        <w:spacing w:line="440" w:lineRule="exact"/>
        <w:rPr>
          <w:rFonts w:hint="eastAsia" w:ascii="宋体" w:hAnsi="宋体" w:eastAsia="宋体" w:cs="宋体"/>
          <w:b/>
          <w:color w:val="auto"/>
        </w:rPr>
      </w:pPr>
      <w:r>
        <w:rPr>
          <w:rFonts w:hint="eastAsia" w:ascii="宋体" w:hAnsi="宋体" w:eastAsia="宋体" w:cs="宋体"/>
          <w:b/>
          <w:color w:val="auto"/>
        </w:rPr>
        <w:t>部分服务客户：</w:t>
      </w:r>
    </w:p>
    <w:p w14:paraId="2BF364A7">
      <w:pPr>
        <w:spacing w:line="440" w:lineRule="exact"/>
        <w:rPr>
          <w:rFonts w:hint="eastAsia" w:ascii="宋体" w:hAnsi="宋体" w:eastAsia="宋体" w:cs="宋体"/>
          <w:bCs/>
          <w:color w:val="auto"/>
        </w:rPr>
      </w:pPr>
      <w:r>
        <w:rPr>
          <w:rFonts w:hint="eastAsia" w:ascii="宋体" w:hAnsi="宋体" w:eastAsia="宋体" w:cs="宋体"/>
          <w:b/>
          <w:color w:val="C00000"/>
        </w:rPr>
        <w:t>汽车/装备行业：</w:t>
      </w:r>
      <w:r>
        <w:rPr>
          <w:rFonts w:hint="eastAsia" w:ascii="宋体" w:hAnsi="宋体" w:eastAsia="宋体" w:cs="宋体"/>
          <w:bCs/>
          <w:color w:val="auto"/>
        </w:rPr>
        <w:t>中国船舶重工集团、深圳比亚迪、包头钢铁、东方电气自动控制工程、东方航空、中船重工、中车唐山机车、中铁装备-郑州盾构机、比亚迪弗迪科技、福船一帆新能源装备制造、三一重工、济南重工集团、江苏新日电动车、力佳电机（珠海）、中车长江铜陵车辆、永发（河南）模塑科技、新疆广投桂东电子科技、宇通客车、北汽股份、北汽雷沃车辆、吉利汽车、钱江摩托、日产汽车郑州工厂、东风本田、东风德纳车桥、广瑞股份汽车零部件、长春科世达、柳州红旭汽车零部件、山东青岛毕勤汽车电子、合肥江淮汽车、南昌五菱汽车、湖北骆驼集团、扬州阿波罗、南宁骆驼集团、青岛玖兆股份、河南宗申等</w:t>
      </w:r>
    </w:p>
    <w:p w14:paraId="33693136">
      <w:pPr>
        <w:spacing w:line="440" w:lineRule="exact"/>
        <w:rPr>
          <w:rFonts w:hint="eastAsia" w:ascii="宋体" w:hAnsi="宋体" w:eastAsia="宋体" w:cs="宋体"/>
          <w:bCs/>
          <w:color w:val="auto"/>
        </w:rPr>
      </w:pPr>
      <w:r>
        <w:rPr>
          <w:rFonts w:hint="eastAsia" w:ascii="宋体" w:hAnsi="宋体" w:eastAsia="宋体" w:cs="宋体"/>
          <w:b/>
          <w:color w:val="C00000"/>
        </w:rPr>
        <w:t>电子电器行业：</w:t>
      </w:r>
      <w:r>
        <w:rPr>
          <w:rFonts w:hint="eastAsia" w:ascii="宋体" w:hAnsi="宋体" w:eastAsia="宋体" w:cs="宋体"/>
          <w:bCs/>
          <w:color w:val="auto"/>
        </w:rPr>
        <w:t>华为技术、三星科技、东方电气、青岛海尔、奥能电源设备、博敏电子股份、长盈精密（东莞，深圳）、环宇集团、德阳东方电气、河南华菱电源</w:t>
      </w:r>
      <w:r>
        <w:rPr>
          <w:rFonts w:hint="eastAsia" w:ascii="宋体" w:hAnsi="宋体" w:eastAsia="宋体" w:cs="宋体"/>
          <w:bCs/>
          <w:color w:val="auto"/>
          <w:lang w:eastAsia="zh-CN"/>
        </w:rPr>
        <w:t>、</w:t>
      </w:r>
      <w:r>
        <w:rPr>
          <w:rFonts w:hint="eastAsia" w:ascii="宋体" w:hAnsi="宋体" w:eastAsia="宋体" w:cs="宋体"/>
          <w:bCs/>
          <w:color w:val="auto"/>
        </w:rPr>
        <w:t>广州芯德通信科技、合肥博微田村、惠州海格科技、泰华电子科技</w:t>
      </w:r>
      <w:r>
        <w:rPr>
          <w:rFonts w:hint="eastAsia" w:ascii="宋体" w:hAnsi="宋体" w:eastAsia="宋体" w:cs="宋体"/>
          <w:bCs/>
          <w:color w:val="auto"/>
          <w:lang w:eastAsia="zh-CN"/>
        </w:rPr>
        <w:t>、</w:t>
      </w:r>
      <w:r>
        <w:rPr>
          <w:rFonts w:hint="eastAsia" w:ascii="宋体" w:hAnsi="宋体" w:eastAsia="宋体" w:cs="宋体"/>
          <w:bCs/>
          <w:color w:val="auto"/>
        </w:rPr>
        <w:t>联基精密电子、环宇赛尔电池、西铁城精电科技（东莞）、武汉长盈通光电技术、中国振华集团、中山市正强科技、金马电池、源泉电器、新飞电器、新飞亚电工、中宝电气、鑫茂科技、安科讯实业、阳立电子、创新科技等</w:t>
      </w:r>
    </w:p>
    <w:p w14:paraId="6591B696">
      <w:pPr>
        <w:spacing w:line="440" w:lineRule="exact"/>
        <w:rPr>
          <w:rFonts w:hint="eastAsia" w:ascii="宋体" w:hAnsi="宋体" w:eastAsia="宋体" w:cs="宋体"/>
          <w:bCs/>
          <w:color w:val="auto"/>
        </w:rPr>
      </w:pPr>
      <w:r>
        <w:rPr>
          <w:rFonts w:hint="eastAsia" w:ascii="宋体" w:hAnsi="宋体" w:eastAsia="宋体" w:cs="宋体"/>
          <w:b/>
          <w:color w:val="C00000"/>
        </w:rPr>
        <w:t>轻工食品行业：</w:t>
      </w:r>
      <w:r>
        <w:rPr>
          <w:rFonts w:hint="eastAsia" w:ascii="宋体" w:hAnsi="宋体" w:eastAsia="宋体" w:cs="宋体"/>
          <w:bCs/>
          <w:color w:val="auto"/>
        </w:rPr>
        <w:t>可口可乐、百事可乐、双汇集团、米奇多食品、南街村集团、北大荒农垦集团、河南北舞渡食品、佳源乳业、安琪酵母股份、艾儿克塑料</w:t>
      </w:r>
      <w:r>
        <w:rPr>
          <w:rFonts w:hint="eastAsia" w:ascii="宋体" w:hAnsi="宋体" w:eastAsia="宋体" w:cs="宋体"/>
          <w:bCs/>
          <w:color w:val="auto"/>
          <w:lang w:eastAsia="zh-CN"/>
        </w:rPr>
        <w:t>、</w:t>
      </w:r>
      <w:r>
        <w:rPr>
          <w:rFonts w:hint="eastAsia" w:ascii="宋体" w:hAnsi="宋体" w:eastAsia="宋体" w:cs="宋体"/>
          <w:bCs/>
          <w:color w:val="auto"/>
        </w:rPr>
        <w:t>广东格美淇电器、湖北中烟、浙江莎布蕾食品、味可美食品、广东温氏集团、新乡恒阳包装材料</w:t>
      </w:r>
      <w:r>
        <w:rPr>
          <w:rFonts w:hint="eastAsia" w:ascii="宋体" w:hAnsi="宋体" w:eastAsia="宋体" w:cs="宋体"/>
          <w:bCs/>
          <w:color w:val="auto"/>
          <w:lang w:eastAsia="zh-CN"/>
        </w:rPr>
        <w:t>、</w:t>
      </w:r>
      <w:r>
        <w:rPr>
          <w:rFonts w:hint="eastAsia" w:ascii="宋体" w:hAnsi="宋体" w:eastAsia="宋体" w:cs="宋体"/>
          <w:bCs/>
          <w:color w:val="auto"/>
        </w:rPr>
        <w:t>天地鹅业、双胞胎集团、鹅家庄食品、响当当食品、泓一食品、江西烟草、许昌卷烟厂、白象集团等</w:t>
      </w:r>
    </w:p>
    <w:p w14:paraId="22168DC2">
      <w:pPr>
        <w:spacing w:line="440" w:lineRule="exact"/>
        <w:rPr>
          <w:rFonts w:hint="eastAsia" w:ascii="宋体" w:hAnsi="宋体" w:eastAsia="宋体" w:cs="宋体"/>
          <w:bCs/>
          <w:color w:val="auto"/>
        </w:rPr>
      </w:pPr>
      <w:r>
        <w:rPr>
          <w:rFonts w:hint="eastAsia" w:ascii="宋体" w:hAnsi="宋体" w:eastAsia="宋体" w:cs="宋体"/>
          <w:b/>
          <w:color w:val="C00000"/>
        </w:rPr>
        <w:t>机械仪表行业：</w:t>
      </w:r>
      <w:r>
        <w:rPr>
          <w:rFonts w:hint="eastAsia" w:ascii="宋体" w:hAnsi="宋体" w:eastAsia="宋体" w:cs="宋体"/>
          <w:bCs/>
          <w:color w:val="auto"/>
        </w:rPr>
        <w:t>东工实业、东莞佑能工具、广东佛山卓一家具、广东嘉拓自动化、永邦新能源、东田制版、广东龙丰精密铜管、广西北港新材料、中山市迪花欧家具、万海阀门科技、永信金属、珠海市奇思智能制造、泰晶科技股份、新界泵业集团、佳研模具、湖州喜盈门木业、安徽胜利精密科技等</w:t>
      </w:r>
    </w:p>
    <w:p w14:paraId="56490937">
      <w:pPr>
        <w:spacing w:line="440" w:lineRule="exact"/>
        <w:rPr>
          <w:rFonts w:hint="eastAsia" w:ascii="宋体" w:hAnsi="宋体" w:eastAsia="宋体" w:cs="宋体"/>
          <w:bCs/>
          <w:color w:val="auto"/>
        </w:rPr>
      </w:pPr>
      <w:r>
        <w:rPr>
          <w:rFonts w:hint="eastAsia" w:ascii="宋体" w:hAnsi="宋体" w:eastAsia="宋体" w:cs="宋体"/>
          <w:b/>
          <w:color w:val="C00000"/>
        </w:rPr>
        <w:t>家装工艺行业：</w:t>
      </w:r>
      <w:r>
        <w:rPr>
          <w:rFonts w:hint="eastAsia" w:ascii="宋体" w:hAnsi="宋体" w:eastAsia="宋体" w:cs="宋体"/>
          <w:bCs/>
          <w:color w:val="auto"/>
        </w:rPr>
        <w:t>联邦家私集团、许昌恒源发制品、皇朝家私、东莞美时家具、巨千家具、雅舍家具有限公司、梦甜甜家具、维德家纺、三越商贸、郑州绿叶科技开发科技等</w:t>
      </w:r>
    </w:p>
    <w:p w14:paraId="4AF37698">
      <w:pPr>
        <w:spacing w:line="440" w:lineRule="exact"/>
        <w:rPr>
          <w:rFonts w:hint="eastAsia" w:ascii="宋体" w:hAnsi="宋体" w:eastAsia="宋体" w:cs="宋体"/>
          <w:bCs/>
          <w:color w:val="auto"/>
        </w:rPr>
      </w:pPr>
      <w:r>
        <w:rPr>
          <w:rFonts w:hint="eastAsia" w:ascii="宋体" w:hAnsi="宋体" w:eastAsia="宋体" w:cs="宋体"/>
          <w:b/>
          <w:color w:val="C00000"/>
        </w:rPr>
        <w:t>其他：</w:t>
      </w:r>
      <w:r>
        <w:rPr>
          <w:rFonts w:hint="eastAsia" w:ascii="宋体" w:hAnsi="宋体" w:eastAsia="宋体" w:cs="宋体"/>
          <w:bCs/>
          <w:color w:val="auto"/>
        </w:rPr>
        <w:t>晋能控股集团、云南金鼎锌业、沙布雷企业大学、青海丽豪清能股份、青海盐湖工业股份、瓮福（集团）、广东德乐、深圳巴士集团</w:t>
      </w:r>
      <w:r>
        <w:rPr>
          <w:rFonts w:hint="eastAsia" w:ascii="宋体" w:hAnsi="宋体" w:eastAsia="宋体" w:cs="宋体"/>
          <w:bCs/>
          <w:color w:val="auto"/>
          <w:lang w:eastAsia="zh-CN"/>
        </w:rPr>
        <w:t>、武汉理工大学</w:t>
      </w:r>
      <w:r>
        <w:rPr>
          <w:rFonts w:hint="eastAsia" w:ascii="宋体" w:hAnsi="宋体" w:eastAsia="宋体" w:cs="宋体"/>
          <w:bCs/>
          <w:color w:val="auto"/>
        </w:rPr>
        <w:t>等</w:t>
      </w:r>
    </w:p>
    <w:p w14:paraId="456CBB80">
      <w:pPr>
        <w:spacing w:line="440" w:lineRule="exact"/>
        <w:rPr>
          <w:rFonts w:hint="eastAsia" w:ascii="宋体" w:hAnsi="宋体" w:eastAsia="宋体" w:cs="宋体"/>
          <w:b/>
          <w:color w:val="000000" w:themeColor="text1"/>
          <w14:textFill>
            <w14:solidFill>
              <w14:schemeClr w14:val="tx1"/>
            </w14:solidFill>
          </w14:textFill>
        </w:rPr>
      </w:pPr>
    </w:p>
    <w:p w14:paraId="63BBC225">
      <w:pPr>
        <w:spacing w:line="440" w:lineRule="exact"/>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color w:val="000000" w:themeColor="text1"/>
          <w14:textFill>
            <w14:solidFill>
              <w14:schemeClr w14:val="tx1"/>
            </w14:solidFill>
          </w14:textFill>
        </w:rPr>
        <w:t>部分客户评价：</w:t>
      </w:r>
    </w:p>
    <w:p w14:paraId="3513E187">
      <w:pPr>
        <w:rPr>
          <w:rFonts w:hint="eastAsia" w:ascii="宋体" w:hAnsi="宋体" w:eastAsia="宋体" w:cs="宋体"/>
          <w:bCs/>
          <w:color w:val="000000" w:themeColor="text1"/>
          <w14:textFill>
            <w14:solidFill>
              <w14:schemeClr w14:val="tx1"/>
            </w14:solidFill>
          </w14:textFill>
        </w:rPr>
      </w:pPr>
      <w:bookmarkStart w:id="0" w:name="_Hlk18055971"/>
      <w:r>
        <w:rPr>
          <w:rFonts w:hint="eastAsia" w:ascii="宋体" w:hAnsi="宋体" w:eastAsia="宋体" w:cs="宋体"/>
          <w:bCs/>
          <w:color w:val="000000" w:themeColor="text1"/>
          <w14:textFill>
            <w14:solidFill>
              <w14:schemeClr w14:val="tx1"/>
            </w14:solidFill>
          </w14:textFill>
        </w:rPr>
        <w:t>非常感谢刘老师今天的精彩纷呈，讲课深入浅出，让我豁然开朗，生动有趣，让我忘却时间，在讲课过程中积极主动和学员进行互动，潜移默化的传播知识，能让使学员轻而易举学到知识，从授课的专业和知识深度都是近几年所听到的最富有成果的一位老师，使得每个学员都历历在目，期待下次其他课程的合作！</w:t>
      </w:r>
    </w:p>
    <w:p w14:paraId="56BFDAF2">
      <w:pPr>
        <w:jc w:val="righ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——钱江摩托股份有限公司  周厂长</w:t>
      </w:r>
    </w:p>
    <w:p w14:paraId="193F6D21">
      <w:pPr>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刘老师讲课重点突出，授课条理清晰，上课期间认真负责，严谨，耐心，案例资料丰富，涉及资料十分广泛，收获满满。课堂气氛很好，总是能把授课资料和工作实际实际结合起来，授课资料通俗易懂。您是我们公司最值得尊敬的老师！</w:t>
      </w:r>
    </w:p>
    <w:p w14:paraId="314A3E17">
      <w:pPr>
        <w:jc w:val="righ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——泰晶科技股份有限公司  杨总</w:t>
      </w:r>
    </w:p>
    <w:p w14:paraId="083CCD8D">
      <w:pPr>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刘老师的课非常落地和实战，始终将理论知识与实际应用相结合，通过您的引导和激励，帮助我们将概念转化为实际操作，并能够灵活运用于实践中，老师丰富的阅历和知识，在讲台上得到了淋漓尽致的发挥，使我们受益非浅。上课不无聊、不枯燥、有趣，有料。非常感谢难得的学习机会。</w:t>
      </w:r>
    </w:p>
    <w:p w14:paraId="1FA661DB">
      <w:pPr>
        <w:jc w:val="righ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——吉利汽车集团有限公司  李总</w:t>
      </w:r>
    </w:p>
    <w:p w14:paraId="4D04DAE9">
      <w:pPr>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今天真心感谢刘老师生动及专业的讲解！告别单纯的理论知识的灌输，更注重将知识应用到实际中去，您给我们的学生带来了与学校不一样的知识。您的课程涉及广泛，从基础知识到高级技巧，您总能为我们提供全面深入的知识内容，就连我们老师也受益匪浅. 生动的例子、幽默的语言，让学生乐于课堂，你也是我们老师学习的榜样，有机会希望再邀请您来！</w:t>
      </w:r>
    </w:p>
    <w:p w14:paraId="4E4EFA01">
      <w:pPr>
        <w:jc w:val="righ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——武汉理工大学  秦教授</w:t>
      </w:r>
    </w:p>
    <w:p w14:paraId="46D9DEA4">
      <w:pPr>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没想到我们能请到刘老师这么优秀且受欢迎的一位讲师，老师体系化的知识结构、丰富的实战经验，和蔼的态度，十分的耐心，为同学们提出的问题都做了详尽的解答，老师以我们问题为导向，让所学为所用，帮助我们化理论为行动。在这活跃的课堂上，我们的员工收获甚多，作为生产型企业，这就是我们一直要找到老师，下次还邀请过来讲课。</w:t>
      </w:r>
    </w:p>
    <w:p w14:paraId="2F3F1119">
      <w:pPr>
        <w:jc w:val="right"/>
        <w:rPr>
          <w:rFonts w:hint="eastAsia" w:ascii="宋体" w:hAnsi="宋体" w:eastAsia="宋体" w:cs="宋体"/>
          <w:bCs/>
          <w:color w:val="000000" w:themeColor="text1"/>
          <w14:textFill>
            <w14:solidFill>
              <w14:schemeClr w14:val="tx1"/>
            </w14:solidFill>
          </w14:textFill>
        </w:rPr>
      </w:pPr>
      <w:r>
        <w:rPr>
          <w:rFonts w:hint="eastAsia" w:ascii="宋体" w:hAnsi="宋体" w:eastAsia="宋体" w:cs="宋体"/>
          <w:bCs/>
          <w:color w:val="000000" w:themeColor="text1"/>
          <w14:textFill>
            <w14:solidFill>
              <w14:schemeClr w14:val="tx1"/>
            </w14:solidFill>
          </w14:textFill>
        </w:rPr>
        <w:t>——郑州日产汽车有限公司  王经理</w:t>
      </w:r>
    </w:p>
    <w:p w14:paraId="796A35E2">
      <w:pPr>
        <w:ind w:right="630"/>
        <w:rPr>
          <w:rFonts w:hint="eastAsia" w:ascii="宋体" w:hAnsi="宋体" w:eastAsia="宋体" w:cs="宋体"/>
          <w:b/>
          <w:color w:val="auto"/>
        </w:rPr>
      </w:pPr>
    </w:p>
    <w:p w14:paraId="38FEF847">
      <w:pPr>
        <w:ind w:right="630"/>
        <w:rPr>
          <w:rFonts w:hint="eastAsia" w:ascii="宋体" w:hAnsi="宋体" w:eastAsia="宋体" w:cs="宋体"/>
          <w:b/>
          <w:color w:val="auto"/>
        </w:rPr>
      </w:pPr>
      <w:r>
        <w:rPr>
          <w:rFonts w:hint="eastAsia" w:ascii="宋体" w:hAnsi="宋体" w:eastAsia="宋体" w:cs="宋体"/>
          <w:b/>
          <w:color w:val="auto"/>
        </w:rPr>
        <w:t>部分授课（项目）照片：</w:t>
      </w:r>
    </w:p>
    <w:bookmarkEnd w:id="0"/>
    <w:tbl>
      <w:tblPr>
        <w:tblStyle w:val="17"/>
        <w:tblW w:w="0" w:type="auto"/>
        <w:jc w:val="cente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fixed"/>
        <w:tblCellMar>
          <w:top w:w="0" w:type="dxa"/>
          <w:left w:w="108" w:type="dxa"/>
          <w:bottom w:w="0" w:type="dxa"/>
          <w:right w:w="108" w:type="dxa"/>
        </w:tblCellMar>
      </w:tblPr>
      <w:tblGrid>
        <w:gridCol w:w="4815"/>
        <w:gridCol w:w="4813"/>
      </w:tblGrid>
      <w:tr w14:paraId="065B68F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138" w:hRule="atLeast"/>
          <w:jc w:val="center"/>
        </w:trPr>
        <w:tc>
          <w:tcPr>
            <w:tcW w:w="4815" w:type="dxa"/>
            <w:vAlign w:val="center"/>
          </w:tcPr>
          <w:p w14:paraId="28877E68">
            <w:pPr>
              <w:spacing w:line="240" w:lineRule="auto"/>
              <w:jc w:val="center"/>
              <w:rPr>
                <w:rFonts w:hint="eastAsia" w:ascii="宋体" w:hAnsi="宋体" w:eastAsia="宋体" w:cs="宋体"/>
                <w:bCs/>
                <w:color w:val="auto"/>
              </w:rPr>
            </w:pPr>
            <w:r>
              <w:rPr>
                <w:rFonts w:hint="eastAsia" w:ascii="宋体" w:hAnsi="宋体" w:eastAsia="宋体" w:cs="宋体"/>
                <w:bCs/>
                <w:color w:val="auto"/>
              </w:rPr>
              <w:drawing>
                <wp:inline distT="0" distB="0" distL="114300" distR="114300">
                  <wp:extent cx="2760980" cy="2019300"/>
                  <wp:effectExtent l="0" t="0" r="7620" b="0"/>
                  <wp:docPr id="30" name="图片 30" descr="图片8"/>
                  <wp:cNvGraphicFramePr/>
                  <a:graphic xmlns:a="http://schemas.openxmlformats.org/drawingml/2006/main">
                    <a:graphicData uri="http://schemas.openxmlformats.org/drawingml/2006/picture">
                      <pic:pic xmlns:pic="http://schemas.openxmlformats.org/drawingml/2006/picture">
                        <pic:nvPicPr>
                          <pic:cNvPr id="30" name="图片 30" descr="图片8"/>
                          <pic:cNvPicPr/>
                        </pic:nvPicPr>
                        <pic:blipFill>
                          <a:blip r:embed="rId8"/>
                          <a:stretch>
                            <a:fillRect/>
                          </a:stretch>
                        </pic:blipFill>
                        <pic:spPr>
                          <a:xfrm>
                            <a:off x="0" y="0"/>
                            <a:ext cx="2760980" cy="2019300"/>
                          </a:xfrm>
                          <a:prstGeom prst="rect">
                            <a:avLst/>
                          </a:prstGeom>
                        </pic:spPr>
                      </pic:pic>
                    </a:graphicData>
                  </a:graphic>
                </wp:inline>
              </w:drawing>
            </w:r>
          </w:p>
        </w:tc>
        <w:tc>
          <w:tcPr>
            <w:tcW w:w="4813" w:type="dxa"/>
            <w:vAlign w:val="center"/>
          </w:tcPr>
          <w:p w14:paraId="7109219D">
            <w:pPr>
              <w:spacing w:line="240" w:lineRule="auto"/>
              <w:jc w:val="center"/>
              <w:rPr>
                <w:rFonts w:hint="eastAsia" w:ascii="宋体" w:hAnsi="宋体" w:eastAsia="宋体" w:cs="宋体"/>
                <w:bCs/>
                <w:color w:val="auto"/>
              </w:rPr>
            </w:pPr>
            <w:r>
              <w:rPr>
                <w:rFonts w:hint="eastAsia" w:ascii="宋体" w:hAnsi="宋体" w:eastAsia="宋体" w:cs="宋体"/>
                <w:bCs/>
                <w:color w:val="auto"/>
              </w:rPr>
              <w:drawing>
                <wp:inline distT="0" distB="0" distL="0" distR="0">
                  <wp:extent cx="2760980" cy="2019300"/>
                  <wp:effectExtent l="0" t="0" r="7620" b="0"/>
                  <wp:docPr id="1609725720" name="图片 6"/>
                  <wp:cNvGraphicFramePr/>
                  <a:graphic xmlns:a="http://schemas.openxmlformats.org/drawingml/2006/main">
                    <a:graphicData uri="http://schemas.openxmlformats.org/drawingml/2006/picture">
                      <pic:pic xmlns:pic="http://schemas.openxmlformats.org/drawingml/2006/picture">
                        <pic:nvPicPr>
                          <pic:cNvPr id="1609725720" name="图片 6"/>
                          <pic:cNvPicPr>
                            <a:picLocks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0980" cy="2019300"/>
                          </a:xfrm>
                          <a:prstGeom prst="rect">
                            <a:avLst/>
                          </a:prstGeom>
                          <a:noFill/>
                          <a:ln>
                            <a:noFill/>
                          </a:ln>
                        </pic:spPr>
                      </pic:pic>
                    </a:graphicData>
                  </a:graphic>
                </wp:inline>
              </w:drawing>
            </w:r>
          </w:p>
        </w:tc>
      </w:tr>
      <w:tr w14:paraId="17FFA53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4815" w:type="dxa"/>
            <w:vAlign w:val="center"/>
          </w:tcPr>
          <w:p w14:paraId="7C39C3E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中国振华集团（4期）</w:t>
            </w:r>
          </w:p>
          <w:p w14:paraId="7BD698F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18"/>
                <w:szCs w:val="18"/>
              </w:rPr>
              <w:t>《安全管理人员安全管控履职赋能》</w:t>
            </w:r>
          </w:p>
        </w:tc>
        <w:tc>
          <w:tcPr>
            <w:tcW w:w="4813" w:type="dxa"/>
            <w:vAlign w:val="center"/>
          </w:tcPr>
          <w:p w14:paraId="72B7B96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三星科技（4期）</w:t>
            </w:r>
          </w:p>
          <w:p w14:paraId="0D51D90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18"/>
                <w:szCs w:val="18"/>
              </w:rPr>
              <w:t>《问题分析与解决工作坊》</w:t>
            </w:r>
          </w:p>
        </w:tc>
      </w:tr>
      <w:tr w14:paraId="5219B87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4815" w:type="dxa"/>
            <w:vAlign w:val="center"/>
          </w:tcPr>
          <w:p w14:paraId="4571968E">
            <w:pPr>
              <w:spacing w:line="240" w:lineRule="auto"/>
              <w:jc w:val="center"/>
              <w:rPr>
                <w:rFonts w:hint="eastAsia" w:ascii="宋体" w:hAnsi="宋体" w:eastAsia="宋体" w:cs="宋体"/>
                <w:bCs/>
                <w:color w:val="auto"/>
              </w:rPr>
            </w:pPr>
            <w:r>
              <w:rPr>
                <w:rFonts w:hint="eastAsia" w:ascii="宋体" w:hAnsi="宋体" w:eastAsia="宋体" w:cs="宋体"/>
                <w:bCs/>
                <w:color w:val="auto"/>
              </w:rPr>
              <w:drawing>
                <wp:inline distT="0" distB="0" distL="0" distR="0">
                  <wp:extent cx="2760980" cy="2019300"/>
                  <wp:effectExtent l="0" t="0" r="7620" b="0"/>
                  <wp:docPr id="540210115" name="图片 9"/>
                  <wp:cNvGraphicFramePr/>
                  <a:graphic xmlns:a="http://schemas.openxmlformats.org/drawingml/2006/main">
                    <a:graphicData uri="http://schemas.openxmlformats.org/drawingml/2006/picture">
                      <pic:pic xmlns:pic="http://schemas.openxmlformats.org/drawingml/2006/picture">
                        <pic:nvPicPr>
                          <pic:cNvPr id="540210115" name="图片 9"/>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60980" cy="2019300"/>
                          </a:xfrm>
                          <a:prstGeom prst="rect">
                            <a:avLst/>
                          </a:prstGeom>
                          <a:noFill/>
                          <a:ln>
                            <a:noFill/>
                          </a:ln>
                        </pic:spPr>
                      </pic:pic>
                    </a:graphicData>
                  </a:graphic>
                </wp:inline>
              </w:drawing>
            </w:r>
          </w:p>
        </w:tc>
        <w:tc>
          <w:tcPr>
            <w:tcW w:w="4813" w:type="dxa"/>
            <w:vAlign w:val="center"/>
          </w:tcPr>
          <w:p w14:paraId="31A9972F">
            <w:pPr>
              <w:spacing w:line="240" w:lineRule="auto"/>
              <w:jc w:val="center"/>
              <w:rPr>
                <w:rFonts w:hint="eastAsia" w:ascii="宋体" w:hAnsi="宋体" w:eastAsia="宋体" w:cs="宋体"/>
                <w:bCs/>
                <w:color w:val="auto"/>
              </w:rPr>
            </w:pPr>
            <w:r>
              <w:rPr>
                <w:rStyle w:val="15"/>
                <w:rFonts w:hint="eastAsia" w:ascii="宋体" w:hAnsi="宋体" w:eastAsia="宋体" w:cs="宋体"/>
                <w:bCs/>
                <w:sz w:val="32"/>
                <w:szCs w:val="32"/>
              </w:rPr>
              <w:drawing>
                <wp:inline distT="0" distB="0" distL="0" distR="0">
                  <wp:extent cx="2760345" cy="2019300"/>
                  <wp:effectExtent l="0" t="0" r="8255" b="0"/>
                  <wp:docPr id="5" name="图片 5" descr="1690381329097"/>
                  <wp:cNvGraphicFramePr/>
                  <a:graphic xmlns:a="http://schemas.openxmlformats.org/drawingml/2006/main">
                    <a:graphicData uri="http://schemas.openxmlformats.org/drawingml/2006/picture">
                      <pic:pic xmlns:pic="http://schemas.openxmlformats.org/drawingml/2006/picture">
                        <pic:nvPicPr>
                          <pic:cNvPr id="5" name="图片 5" descr="1690381329097"/>
                          <pic:cNvPicPr>
                            <a:picLocks noChangeArrowheads="1"/>
                          </pic:cNvPicPr>
                        </pic:nvPicPr>
                        <pic:blipFill>
                          <a:blip r:embed="rId11"/>
                          <a:srcRect/>
                          <a:stretch>
                            <a:fillRect/>
                          </a:stretch>
                        </pic:blipFill>
                        <pic:spPr>
                          <a:xfrm>
                            <a:off x="0" y="0"/>
                            <a:ext cx="2760345" cy="2019300"/>
                          </a:xfrm>
                          <a:prstGeom prst="rect">
                            <a:avLst/>
                          </a:prstGeom>
                          <a:noFill/>
                          <a:ln>
                            <a:noFill/>
                          </a:ln>
                        </pic:spPr>
                      </pic:pic>
                    </a:graphicData>
                  </a:graphic>
                </wp:inline>
              </w:drawing>
            </w:r>
          </w:p>
        </w:tc>
      </w:tr>
      <w:tr w14:paraId="559DD94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4815" w:type="dxa"/>
            <w:vAlign w:val="center"/>
          </w:tcPr>
          <w:p w14:paraId="3FC7B27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深圳比亚迪（4期）</w:t>
            </w:r>
          </w:p>
          <w:p w14:paraId="6B170A6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18"/>
                <w:szCs w:val="18"/>
              </w:rPr>
              <w:t>《PMC生产计划与物料控制》</w:t>
            </w:r>
          </w:p>
        </w:tc>
        <w:tc>
          <w:tcPr>
            <w:tcW w:w="4813" w:type="dxa"/>
            <w:vAlign w:val="center"/>
          </w:tcPr>
          <w:p w14:paraId="33DAC5D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泰晶科技（6期）</w:t>
            </w:r>
          </w:p>
          <w:p w14:paraId="6DF7C71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18"/>
                <w:szCs w:val="18"/>
              </w:rPr>
              <w:t>《QCC改善》</w:t>
            </w:r>
          </w:p>
        </w:tc>
      </w:tr>
      <w:tr w14:paraId="61C8FC4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107" w:hRule="atLeast"/>
          <w:jc w:val="center"/>
        </w:trPr>
        <w:tc>
          <w:tcPr>
            <w:tcW w:w="4815" w:type="dxa"/>
            <w:vAlign w:val="center"/>
          </w:tcPr>
          <w:p w14:paraId="23A578D9">
            <w:pPr>
              <w:spacing w:line="240" w:lineRule="auto"/>
              <w:jc w:val="center"/>
              <w:rPr>
                <w:rFonts w:hint="eastAsia" w:ascii="宋体" w:hAnsi="宋体" w:eastAsia="宋体" w:cs="宋体"/>
                <w:bCs/>
                <w:color w:val="auto"/>
              </w:rPr>
            </w:pPr>
            <w:r>
              <w:rPr>
                <w:rStyle w:val="15"/>
                <w:rFonts w:hint="eastAsia" w:ascii="宋体" w:hAnsi="宋体" w:eastAsia="宋体" w:cs="宋体"/>
                <w:bCs/>
                <w:sz w:val="32"/>
                <w:szCs w:val="32"/>
              </w:rPr>
              <w:drawing>
                <wp:inline distT="0" distB="0" distL="0" distR="0">
                  <wp:extent cx="2760980" cy="2019300"/>
                  <wp:effectExtent l="0" t="0" r="7620" b="0"/>
                  <wp:docPr id="6" name="图片 6" descr="f92337dc6db0ff31cdc24e62cd90029"/>
                  <wp:cNvGraphicFramePr/>
                  <a:graphic xmlns:a="http://schemas.openxmlformats.org/drawingml/2006/main">
                    <a:graphicData uri="http://schemas.openxmlformats.org/drawingml/2006/picture">
                      <pic:pic xmlns:pic="http://schemas.openxmlformats.org/drawingml/2006/picture">
                        <pic:nvPicPr>
                          <pic:cNvPr id="6" name="图片 6" descr="f92337dc6db0ff31cdc24e62cd90029"/>
                          <pic:cNvPicPr>
                            <a:picLocks noChangeArrowheads="1"/>
                          </pic:cNvPicPr>
                        </pic:nvPicPr>
                        <pic:blipFill>
                          <a:blip r:embed="rId12" cstate="print">
                            <a:extLst>
                              <a:ext uri="{28A0092B-C50C-407E-A947-70E740481C1C}">
                                <a14:useLocalDpi xmlns:a14="http://schemas.microsoft.com/office/drawing/2010/main" val="0"/>
                              </a:ext>
                            </a:extLst>
                          </a:blip>
                          <a:srcRect l="11873" t="10528" r="7915" b="17217"/>
                          <a:stretch>
                            <a:fillRect/>
                          </a:stretch>
                        </pic:blipFill>
                        <pic:spPr>
                          <a:xfrm>
                            <a:off x="0" y="0"/>
                            <a:ext cx="2760980" cy="2019300"/>
                          </a:xfrm>
                          <a:prstGeom prst="rect">
                            <a:avLst/>
                          </a:prstGeom>
                          <a:noFill/>
                          <a:ln>
                            <a:noFill/>
                          </a:ln>
                        </pic:spPr>
                      </pic:pic>
                    </a:graphicData>
                  </a:graphic>
                </wp:inline>
              </w:drawing>
            </w:r>
          </w:p>
        </w:tc>
        <w:tc>
          <w:tcPr>
            <w:tcW w:w="4813" w:type="dxa"/>
            <w:vAlign w:val="center"/>
          </w:tcPr>
          <w:p w14:paraId="1E19E092">
            <w:pPr>
              <w:spacing w:line="240" w:lineRule="auto"/>
              <w:jc w:val="center"/>
              <w:rPr>
                <w:rFonts w:hint="eastAsia" w:ascii="宋体" w:hAnsi="宋体" w:eastAsia="宋体" w:cs="宋体"/>
                <w:bCs/>
                <w:color w:val="auto"/>
              </w:rPr>
            </w:pPr>
            <w:r>
              <w:rPr>
                <w:rFonts w:hint="eastAsia" w:ascii="宋体" w:hAnsi="宋体" w:eastAsia="宋体" w:cs="宋体"/>
                <w:bCs/>
                <w:color w:val="auto"/>
              </w:rPr>
              <w:drawing>
                <wp:inline distT="0" distB="0" distL="0" distR="0">
                  <wp:extent cx="2760980" cy="2019300"/>
                  <wp:effectExtent l="0" t="0" r="7620" b="0"/>
                  <wp:docPr id="1712365455" name="图片 4"/>
                  <wp:cNvGraphicFramePr/>
                  <a:graphic xmlns:a="http://schemas.openxmlformats.org/drawingml/2006/main">
                    <a:graphicData uri="http://schemas.openxmlformats.org/drawingml/2006/picture">
                      <pic:pic xmlns:pic="http://schemas.openxmlformats.org/drawingml/2006/picture">
                        <pic:nvPicPr>
                          <pic:cNvPr id="1712365455" name="图片 4"/>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760980" cy="2019300"/>
                          </a:xfrm>
                          <a:prstGeom prst="rect">
                            <a:avLst/>
                          </a:prstGeom>
                          <a:noFill/>
                          <a:ln>
                            <a:noFill/>
                          </a:ln>
                        </pic:spPr>
                      </pic:pic>
                    </a:graphicData>
                  </a:graphic>
                </wp:inline>
              </w:drawing>
            </w:r>
          </w:p>
        </w:tc>
      </w:tr>
      <w:tr w14:paraId="0580DB5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4815" w:type="dxa"/>
            <w:vAlign w:val="center"/>
          </w:tcPr>
          <w:p w14:paraId="7684302C">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武汉理工大学</w:t>
            </w:r>
          </w:p>
          <w:p w14:paraId="48390125">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《TQM全面质量管理》</w:t>
            </w:r>
          </w:p>
        </w:tc>
        <w:tc>
          <w:tcPr>
            <w:tcW w:w="4813" w:type="dxa"/>
            <w:vAlign w:val="center"/>
          </w:tcPr>
          <w:p w14:paraId="4DEDB757">
            <w:pPr>
              <w:spacing w:line="360" w:lineRule="exact"/>
              <w:jc w:val="center"/>
              <w:rPr>
                <w:rFonts w:hint="eastAsia" w:ascii="宋体" w:hAnsi="宋体" w:eastAsia="宋体" w:cs="宋体"/>
                <w:bCs/>
                <w:color w:val="auto"/>
                <w:sz w:val="18"/>
                <w:szCs w:val="18"/>
                <w:lang w:val="en-US" w:eastAsia="zh-CN"/>
              </w:rPr>
            </w:pPr>
            <w:r>
              <w:rPr>
                <w:rFonts w:hint="eastAsia" w:ascii="宋体" w:hAnsi="宋体" w:eastAsia="宋体" w:cs="宋体"/>
                <w:bCs/>
                <w:color w:val="auto"/>
                <w:sz w:val="18"/>
                <w:szCs w:val="18"/>
              </w:rPr>
              <w:t>格美淇</w:t>
            </w:r>
            <w:r>
              <w:rPr>
                <w:rFonts w:hint="eastAsia" w:ascii="宋体" w:hAnsi="宋体" w:eastAsia="宋体" w:cs="宋体"/>
                <w:bCs/>
                <w:color w:val="auto"/>
                <w:sz w:val="18"/>
                <w:szCs w:val="18"/>
                <w:lang w:val="en-US" w:eastAsia="zh-CN"/>
              </w:rPr>
              <w:t>电器</w:t>
            </w:r>
          </w:p>
          <w:p w14:paraId="339F68B6">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《现场质量管理及6S管理提升》</w:t>
            </w:r>
          </w:p>
        </w:tc>
      </w:tr>
      <w:tr w14:paraId="27C3895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159" w:hRule="atLeast"/>
          <w:jc w:val="center"/>
        </w:trPr>
        <w:tc>
          <w:tcPr>
            <w:tcW w:w="4815" w:type="dxa"/>
            <w:vAlign w:val="center"/>
          </w:tcPr>
          <w:p w14:paraId="3B6C8967">
            <w:pPr>
              <w:spacing w:line="240" w:lineRule="auto"/>
              <w:jc w:val="center"/>
              <w:rPr>
                <w:rFonts w:hint="eastAsia" w:ascii="宋体" w:hAnsi="宋体" w:eastAsia="宋体" w:cs="宋体"/>
                <w:bCs/>
                <w:color w:val="auto"/>
              </w:rPr>
            </w:pPr>
            <w:r>
              <w:rPr>
                <w:rFonts w:hint="eastAsia" w:ascii="宋体" w:hAnsi="宋体" w:eastAsia="宋体" w:cs="宋体"/>
                <w:bCs/>
                <w:color w:val="auto"/>
              </w:rPr>
              <w:drawing>
                <wp:inline distT="0" distB="0" distL="0" distR="0">
                  <wp:extent cx="2760980" cy="2019300"/>
                  <wp:effectExtent l="0" t="0" r="7620" b="0"/>
                  <wp:docPr id="1404682028" name="图片 5"/>
                  <wp:cNvGraphicFramePr/>
                  <a:graphic xmlns:a="http://schemas.openxmlformats.org/drawingml/2006/main">
                    <a:graphicData uri="http://schemas.openxmlformats.org/drawingml/2006/picture">
                      <pic:pic xmlns:pic="http://schemas.openxmlformats.org/drawingml/2006/picture">
                        <pic:nvPicPr>
                          <pic:cNvPr id="1404682028" name="图片 5"/>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60980" cy="2019300"/>
                          </a:xfrm>
                          <a:prstGeom prst="rect">
                            <a:avLst/>
                          </a:prstGeom>
                          <a:noFill/>
                          <a:ln>
                            <a:noFill/>
                          </a:ln>
                        </pic:spPr>
                      </pic:pic>
                    </a:graphicData>
                  </a:graphic>
                </wp:inline>
              </w:drawing>
            </w:r>
          </w:p>
        </w:tc>
        <w:tc>
          <w:tcPr>
            <w:tcW w:w="4813" w:type="dxa"/>
            <w:vAlign w:val="center"/>
          </w:tcPr>
          <w:p w14:paraId="4DE00F9B">
            <w:pPr>
              <w:spacing w:line="240" w:lineRule="auto"/>
              <w:jc w:val="center"/>
              <w:rPr>
                <w:rFonts w:hint="eastAsia" w:ascii="宋体" w:hAnsi="宋体" w:eastAsia="宋体" w:cs="宋体"/>
                <w:bCs/>
                <w:color w:val="auto"/>
              </w:rPr>
            </w:pPr>
            <w:r>
              <w:rPr>
                <w:rStyle w:val="15"/>
                <w:rFonts w:hint="eastAsia" w:ascii="宋体" w:hAnsi="宋体" w:eastAsia="宋体" w:cs="宋体"/>
                <w:bCs/>
                <w:sz w:val="32"/>
                <w:szCs w:val="32"/>
              </w:rPr>
              <w:drawing>
                <wp:inline distT="0" distB="0" distL="0" distR="0">
                  <wp:extent cx="2760980" cy="2019300"/>
                  <wp:effectExtent l="0" t="0" r="7620" b="0"/>
                  <wp:docPr id="9" name="图片 9" descr="e85d850f1a892637771b7a6750eb9a8"/>
                  <wp:cNvGraphicFramePr/>
                  <a:graphic xmlns:a="http://schemas.openxmlformats.org/drawingml/2006/main">
                    <a:graphicData uri="http://schemas.openxmlformats.org/drawingml/2006/picture">
                      <pic:pic xmlns:pic="http://schemas.openxmlformats.org/drawingml/2006/picture">
                        <pic:nvPicPr>
                          <pic:cNvPr id="9" name="图片 9" descr="e85d850f1a892637771b7a6750eb9a8"/>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761200" cy="2019300"/>
                          </a:xfrm>
                          <a:prstGeom prst="rect">
                            <a:avLst/>
                          </a:prstGeom>
                          <a:noFill/>
                          <a:ln>
                            <a:noFill/>
                          </a:ln>
                        </pic:spPr>
                      </pic:pic>
                    </a:graphicData>
                  </a:graphic>
                </wp:inline>
              </w:drawing>
            </w:r>
          </w:p>
        </w:tc>
      </w:tr>
      <w:tr w14:paraId="0A4E548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jc w:val="center"/>
        </w:trPr>
        <w:tc>
          <w:tcPr>
            <w:tcW w:w="4815" w:type="dxa"/>
            <w:vAlign w:val="center"/>
          </w:tcPr>
          <w:p w14:paraId="1377EABB">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云南金鼎锌业（10期）</w:t>
            </w:r>
          </w:p>
          <w:p w14:paraId="7A74B689">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《华为式班组长综合管理能力系统提升》</w:t>
            </w:r>
          </w:p>
        </w:tc>
        <w:tc>
          <w:tcPr>
            <w:tcW w:w="4813" w:type="dxa"/>
            <w:vAlign w:val="center"/>
          </w:tcPr>
          <w:p w14:paraId="654BF94E">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南昌双胞胎集团（3期）</w:t>
            </w:r>
          </w:p>
          <w:p w14:paraId="6A8BA538">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《标准化项目》</w:t>
            </w:r>
          </w:p>
        </w:tc>
      </w:tr>
      <w:tr w14:paraId="20C1E49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068" w:hRule="atLeast"/>
          <w:jc w:val="center"/>
        </w:trPr>
        <w:tc>
          <w:tcPr>
            <w:tcW w:w="4815" w:type="dxa"/>
            <w:vAlign w:val="center"/>
          </w:tcPr>
          <w:p w14:paraId="7A0C6F57">
            <w:pPr>
              <w:spacing w:line="36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0" distR="0">
                  <wp:extent cx="2760980" cy="2019300"/>
                  <wp:effectExtent l="0" t="0" r="7620" b="0"/>
                  <wp:docPr id="1532490718" name="图片 2"/>
                  <wp:cNvGraphicFramePr/>
                  <a:graphic xmlns:a="http://schemas.openxmlformats.org/drawingml/2006/main">
                    <a:graphicData uri="http://schemas.openxmlformats.org/drawingml/2006/picture">
                      <pic:pic xmlns:pic="http://schemas.openxmlformats.org/drawingml/2006/picture">
                        <pic:nvPicPr>
                          <pic:cNvPr id="1532490718" name="图片 2"/>
                          <pic:cNvPicPr>
                            <a:picLocks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0980" cy="2019300"/>
                          </a:xfrm>
                          <a:prstGeom prst="rect">
                            <a:avLst/>
                          </a:prstGeom>
                          <a:noFill/>
                          <a:ln>
                            <a:noFill/>
                          </a:ln>
                        </pic:spPr>
                      </pic:pic>
                    </a:graphicData>
                  </a:graphic>
                </wp:inline>
              </w:drawing>
            </w:r>
          </w:p>
        </w:tc>
        <w:tc>
          <w:tcPr>
            <w:tcW w:w="4813" w:type="dxa"/>
            <w:vAlign w:val="center"/>
          </w:tcPr>
          <w:p w14:paraId="4A184953">
            <w:pPr>
              <w:spacing w:line="36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0" distR="0">
                  <wp:extent cx="2760980" cy="2019300"/>
                  <wp:effectExtent l="0" t="0" r="7620" b="0"/>
                  <wp:docPr id="395431136" name="图片 3"/>
                  <wp:cNvGraphicFramePr/>
                  <a:graphic xmlns:a="http://schemas.openxmlformats.org/drawingml/2006/main">
                    <a:graphicData uri="http://schemas.openxmlformats.org/drawingml/2006/picture">
                      <pic:pic xmlns:pic="http://schemas.openxmlformats.org/drawingml/2006/picture">
                        <pic:nvPicPr>
                          <pic:cNvPr id="395431136" name="图片 3"/>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760980" cy="2019300"/>
                          </a:xfrm>
                          <a:prstGeom prst="rect">
                            <a:avLst/>
                          </a:prstGeom>
                          <a:noFill/>
                          <a:ln>
                            <a:noFill/>
                          </a:ln>
                        </pic:spPr>
                      </pic:pic>
                    </a:graphicData>
                  </a:graphic>
                </wp:inline>
              </w:drawing>
            </w:r>
          </w:p>
        </w:tc>
      </w:tr>
      <w:tr w14:paraId="267A633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23" w:hRule="atLeast"/>
          <w:jc w:val="center"/>
        </w:trPr>
        <w:tc>
          <w:tcPr>
            <w:tcW w:w="4815" w:type="dxa"/>
            <w:vAlign w:val="center"/>
          </w:tcPr>
          <w:p w14:paraId="496A92B3">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东风本田</w:t>
            </w:r>
          </w:p>
          <w:p w14:paraId="188AB8D1">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《IE工业工程实操训练》</w:t>
            </w:r>
          </w:p>
        </w:tc>
        <w:tc>
          <w:tcPr>
            <w:tcW w:w="4813" w:type="dxa"/>
            <w:vAlign w:val="center"/>
          </w:tcPr>
          <w:p w14:paraId="1CE0F0F6">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白象集团（辅导1年）</w:t>
            </w:r>
          </w:p>
          <w:p w14:paraId="7C88C855">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《安全标准化项目辅导》</w:t>
            </w:r>
          </w:p>
        </w:tc>
      </w:tr>
      <w:tr w14:paraId="0BF19BB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681" w:hRule="atLeast"/>
          <w:jc w:val="center"/>
        </w:trPr>
        <w:tc>
          <w:tcPr>
            <w:tcW w:w="4815" w:type="dxa"/>
            <w:vAlign w:val="center"/>
          </w:tcPr>
          <w:p w14:paraId="403CCBAF">
            <w:pPr>
              <w:spacing w:line="36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0" distR="0">
                  <wp:extent cx="2760980" cy="2019300"/>
                  <wp:effectExtent l="0" t="0" r="7620" b="0"/>
                  <wp:docPr id="170980656" name="图片 11"/>
                  <wp:cNvGraphicFramePr/>
                  <a:graphic xmlns:a="http://schemas.openxmlformats.org/drawingml/2006/main">
                    <a:graphicData uri="http://schemas.openxmlformats.org/drawingml/2006/picture">
                      <pic:pic xmlns:pic="http://schemas.openxmlformats.org/drawingml/2006/picture">
                        <pic:nvPicPr>
                          <pic:cNvPr id="170980656" name="图片 11"/>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60980" cy="2019300"/>
                          </a:xfrm>
                          <a:prstGeom prst="rect">
                            <a:avLst/>
                          </a:prstGeom>
                          <a:noFill/>
                          <a:ln>
                            <a:noFill/>
                          </a:ln>
                        </pic:spPr>
                      </pic:pic>
                    </a:graphicData>
                  </a:graphic>
                </wp:inline>
              </w:drawing>
            </w:r>
          </w:p>
        </w:tc>
        <w:tc>
          <w:tcPr>
            <w:tcW w:w="4813" w:type="dxa"/>
            <w:vAlign w:val="center"/>
          </w:tcPr>
          <w:p w14:paraId="775ED3D5">
            <w:pPr>
              <w:spacing w:line="360" w:lineRule="auto"/>
              <w:jc w:val="both"/>
              <w:rPr>
                <w:rFonts w:hint="eastAsia" w:ascii="宋体" w:hAnsi="宋体" w:eastAsia="宋体" w:cs="宋体"/>
                <w:bCs/>
                <w:color w:val="auto"/>
                <w:sz w:val="18"/>
                <w:szCs w:val="18"/>
                <w:lang w:eastAsia="zh-CN"/>
              </w:rPr>
            </w:pPr>
            <w:r>
              <w:rPr>
                <w:rFonts w:hint="eastAsia" w:ascii="宋体" w:hAnsi="宋体" w:eastAsia="宋体" w:cs="宋体"/>
                <w:bCs/>
                <w:color w:val="auto"/>
                <w:sz w:val="18"/>
                <w:szCs w:val="18"/>
                <w:lang w:eastAsia="zh-CN"/>
              </w:rPr>
              <w:drawing>
                <wp:inline distT="0" distB="0" distL="114300" distR="114300">
                  <wp:extent cx="2760980" cy="2019300"/>
                  <wp:effectExtent l="0" t="0" r="7620" b="0"/>
                  <wp:docPr id="2" name="图片 2" descr="e51742e774f4aa678f0d9d68a6714fb2"/>
                  <wp:cNvGraphicFramePr/>
                  <a:graphic xmlns:a="http://schemas.openxmlformats.org/drawingml/2006/main">
                    <a:graphicData uri="http://schemas.openxmlformats.org/drawingml/2006/picture">
                      <pic:pic xmlns:pic="http://schemas.openxmlformats.org/drawingml/2006/picture">
                        <pic:nvPicPr>
                          <pic:cNvPr id="2" name="图片 2" descr="e51742e774f4aa678f0d9d68a6714fb2"/>
                          <pic:cNvPicPr/>
                        </pic:nvPicPr>
                        <pic:blipFill>
                          <a:blip r:embed="rId19"/>
                          <a:srcRect t="10617"/>
                          <a:stretch>
                            <a:fillRect/>
                          </a:stretch>
                        </pic:blipFill>
                        <pic:spPr>
                          <a:xfrm>
                            <a:off x="0" y="0"/>
                            <a:ext cx="2760980" cy="2019300"/>
                          </a:xfrm>
                          <a:prstGeom prst="rect">
                            <a:avLst/>
                          </a:prstGeom>
                        </pic:spPr>
                      </pic:pic>
                    </a:graphicData>
                  </a:graphic>
                </wp:inline>
              </w:drawing>
            </w:r>
          </w:p>
        </w:tc>
      </w:tr>
      <w:tr w14:paraId="5399E09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72" w:hRule="atLeast"/>
          <w:jc w:val="center"/>
        </w:trPr>
        <w:tc>
          <w:tcPr>
            <w:tcW w:w="4815" w:type="dxa"/>
            <w:vAlign w:val="center"/>
          </w:tcPr>
          <w:p w14:paraId="4EEFE019">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中车长江铜陵车辆</w:t>
            </w:r>
          </w:p>
          <w:p w14:paraId="6374FB64">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（TP-全员设备维护）</w:t>
            </w:r>
          </w:p>
        </w:tc>
        <w:tc>
          <w:tcPr>
            <w:tcW w:w="4813" w:type="dxa"/>
            <w:vAlign w:val="center"/>
          </w:tcPr>
          <w:p w14:paraId="1C13AD07">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广州艾儿克塑料</w:t>
            </w:r>
          </w:p>
          <w:p w14:paraId="19DD2324">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《班组长综合技能提升》</w:t>
            </w:r>
          </w:p>
        </w:tc>
      </w:tr>
      <w:tr w14:paraId="490A576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72" w:hRule="atLeast"/>
          <w:jc w:val="center"/>
        </w:trPr>
        <w:tc>
          <w:tcPr>
            <w:tcW w:w="4815" w:type="dxa"/>
            <w:vAlign w:val="center"/>
          </w:tcPr>
          <w:p w14:paraId="5148CEE6">
            <w:pPr>
              <w:spacing w:line="36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853055" cy="1901825"/>
                  <wp:effectExtent l="0" t="0" r="4445" b="3175"/>
                  <wp:docPr id="4" name="图片 4" descr="1412a4f4b908f930e05a5e8cb652d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412a4f4b908f930e05a5e8cb652d2f"/>
                          <pic:cNvPicPr>
                            <a:picLocks noChangeAspect="1"/>
                          </pic:cNvPicPr>
                        </pic:nvPicPr>
                        <pic:blipFill>
                          <a:blip r:embed="rId20"/>
                          <a:stretch>
                            <a:fillRect/>
                          </a:stretch>
                        </pic:blipFill>
                        <pic:spPr>
                          <a:xfrm>
                            <a:off x="0" y="0"/>
                            <a:ext cx="2853055" cy="1901825"/>
                          </a:xfrm>
                          <a:prstGeom prst="rect">
                            <a:avLst/>
                          </a:prstGeom>
                        </pic:spPr>
                      </pic:pic>
                    </a:graphicData>
                  </a:graphic>
                </wp:inline>
              </w:drawing>
            </w:r>
          </w:p>
        </w:tc>
        <w:tc>
          <w:tcPr>
            <w:tcW w:w="4813" w:type="dxa"/>
            <w:vAlign w:val="center"/>
          </w:tcPr>
          <w:p w14:paraId="71363E8B">
            <w:pPr>
              <w:spacing w:line="36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0" distR="0">
                  <wp:extent cx="2919095" cy="1946275"/>
                  <wp:effectExtent l="0" t="0" r="14605" b="15875"/>
                  <wp:docPr id="33552768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27686" name="图片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19095" cy="1946275"/>
                          </a:xfrm>
                          <a:prstGeom prst="rect">
                            <a:avLst/>
                          </a:prstGeom>
                          <a:noFill/>
                          <a:ln>
                            <a:noFill/>
                          </a:ln>
                        </pic:spPr>
                      </pic:pic>
                    </a:graphicData>
                  </a:graphic>
                </wp:inline>
              </w:drawing>
            </w:r>
          </w:p>
        </w:tc>
      </w:tr>
      <w:tr w14:paraId="5CEE7A1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75" w:hRule="atLeast"/>
          <w:jc w:val="center"/>
        </w:trPr>
        <w:tc>
          <w:tcPr>
            <w:tcW w:w="4815" w:type="dxa"/>
            <w:vAlign w:val="center"/>
          </w:tcPr>
          <w:p w14:paraId="40C2CD25">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济南重工集团</w:t>
            </w:r>
          </w:p>
          <w:p w14:paraId="2CC7DC77">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《制造企业精细化成本控制》</w:t>
            </w:r>
          </w:p>
        </w:tc>
        <w:tc>
          <w:tcPr>
            <w:tcW w:w="4813" w:type="dxa"/>
            <w:vAlign w:val="center"/>
          </w:tcPr>
          <w:p w14:paraId="6F343E78">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惠州海格科技（3期）</w:t>
            </w:r>
          </w:p>
          <w:p w14:paraId="0A61971A">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《班组长管理能力训练》</w:t>
            </w:r>
          </w:p>
        </w:tc>
      </w:tr>
      <w:tr w14:paraId="1B5B8FD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159" w:hRule="atLeast"/>
          <w:jc w:val="center"/>
        </w:trPr>
        <w:tc>
          <w:tcPr>
            <w:tcW w:w="4815" w:type="dxa"/>
            <w:vAlign w:val="center"/>
          </w:tcPr>
          <w:p w14:paraId="43CDABCD">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18" name="图片 18" descr="图片2"/>
                  <wp:cNvGraphicFramePr/>
                  <a:graphic xmlns:a="http://schemas.openxmlformats.org/drawingml/2006/main">
                    <a:graphicData uri="http://schemas.openxmlformats.org/drawingml/2006/picture">
                      <pic:pic xmlns:pic="http://schemas.openxmlformats.org/drawingml/2006/picture">
                        <pic:nvPicPr>
                          <pic:cNvPr id="18" name="图片 18" descr="图片2"/>
                          <pic:cNvPicPr/>
                        </pic:nvPicPr>
                        <pic:blipFill>
                          <a:blip r:embed="rId22"/>
                          <a:stretch>
                            <a:fillRect/>
                          </a:stretch>
                        </pic:blipFill>
                        <pic:spPr>
                          <a:xfrm>
                            <a:off x="0" y="0"/>
                            <a:ext cx="2760980" cy="2019300"/>
                          </a:xfrm>
                          <a:prstGeom prst="rect">
                            <a:avLst/>
                          </a:prstGeom>
                        </pic:spPr>
                      </pic:pic>
                    </a:graphicData>
                  </a:graphic>
                </wp:inline>
              </w:drawing>
            </w:r>
          </w:p>
        </w:tc>
        <w:tc>
          <w:tcPr>
            <w:tcW w:w="4813" w:type="dxa"/>
            <w:vAlign w:val="center"/>
          </w:tcPr>
          <w:p w14:paraId="4444B835">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19" name="图片 19" descr="图片3"/>
                  <wp:cNvGraphicFramePr/>
                  <a:graphic xmlns:a="http://schemas.openxmlformats.org/drawingml/2006/main">
                    <a:graphicData uri="http://schemas.openxmlformats.org/drawingml/2006/picture">
                      <pic:pic xmlns:pic="http://schemas.openxmlformats.org/drawingml/2006/picture">
                        <pic:nvPicPr>
                          <pic:cNvPr id="19" name="图片 19" descr="图片3"/>
                          <pic:cNvPicPr/>
                        </pic:nvPicPr>
                        <pic:blipFill>
                          <a:blip r:embed="rId23"/>
                          <a:stretch>
                            <a:fillRect/>
                          </a:stretch>
                        </pic:blipFill>
                        <pic:spPr>
                          <a:xfrm>
                            <a:off x="0" y="0"/>
                            <a:ext cx="2760980" cy="2019300"/>
                          </a:xfrm>
                          <a:prstGeom prst="rect">
                            <a:avLst/>
                          </a:prstGeom>
                        </pic:spPr>
                      </pic:pic>
                    </a:graphicData>
                  </a:graphic>
                </wp:inline>
              </w:drawing>
            </w:r>
          </w:p>
        </w:tc>
      </w:tr>
      <w:tr w14:paraId="5C4AE77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72" w:hRule="atLeast"/>
          <w:jc w:val="center"/>
        </w:trPr>
        <w:tc>
          <w:tcPr>
            <w:tcW w:w="4815" w:type="dxa"/>
            <w:vAlign w:val="center"/>
          </w:tcPr>
          <w:p w14:paraId="7C6B2396">
            <w:pPr>
              <w:spacing w:line="240" w:lineRule="auto"/>
              <w:ind w:firstLine="180" w:firstLineChars="100"/>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巡回公开课（10期）</w:t>
            </w:r>
          </w:p>
          <w:p w14:paraId="22A9E2A1">
            <w:pPr>
              <w:spacing w:line="240" w:lineRule="auto"/>
              <w:ind w:firstLine="180" w:firstLineChars="100"/>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《全能型车间主任综合管理能力提升训练营》</w:t>
            </w:r>
          </w:p>
        </w:tc>
        <w:tc>
          <w:tcPr>
            <w:tcW w:w="4813" w:type="dxa"/>
            <w:vAlign w:val="center"/>
          </w:tcPr>
          <w:p w14:paraId="6A6804D1">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德阳东方电器</w:t>
            </w:r>
          </w:p>
          <w:p w14:paraId="338DA6F6">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《VA/VE价值工程与价值分析&amp;IE》</w:t>
            </w:r>
          </w:p>
        </w:tc>
      </w:tr>
      <w:tr w14:paraId="690C5D2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2741" w:hRule="atLeast"/>
          <w:jc w:val="center"/>
        </w:trPr>
        <w:tc>
          <w:tcPr>
            <w:tcW w:w="4815" w:type="dxa"/>
            <w:vAlign w:val="center"/>
          </w:tcPr>
          <w:p w14:paraId="409E6745">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20" name="图片 20" descr="图片4"/>
                  <wp:cNvGraphicFramePr/>
                  <a:graphic xmlns:a="http://schemas.openxmlformats.org/drawingml/2006/main">
                    <a:graphicData uri="http://schemas.openxmlformats.org/drawingml/2006/picture">
                      <pic:pic xmlns:pic="http://schemas.openxmlformats.org/drawingml/2006/picture">
                        <pic:nvPicPr>
                          <pic:cNvPr id="20" name="图片 20" descr="图片4"/>
                          <pic:cNvPicPr/>
                        </pic:nvPicPr>
                        <pic:blipFill>
                          <a:blip r:embed="rId24"/>
                          <a:stretch>
                            <a:fillRect/>
                          </a:stretch>
                        </pic:blipFill>
                        <pic:spPr>
                          <a:xfrm>
                            <a:off x="0" y="0"/>
                            <a:ext cx="2760980" cy="2019300"/>
                          </a:xfrm>
                          <a:prstGeom prst="rect">
                            <a:avLst/>
                          </a:prstGeom>
                        </pic:spPr>
                      </pic:pic>
                    </a:graphicData>
                  </a:graphic>
                </wp:inline>
              </w:drawing>
            </w:r>
          </w:p>
        </w:tc>
        <w:tc>
          <w:tcPr>
            <w:tcW w:w="4813" w:type="dxa"/>
            <w:vAlign w:val="center"/>
          </w:tcPr>
          <w:p w14:paraId="17EC8DE6">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23" name="图片 23" descr="图片7"/>
                  <wp:cNvGraphicFramePr/>
                  <a:graphic xmlns:a="http://schemas.openxmlformats.org/drawingml/2006/main">
                    <a:graphicData uri="http://schemas.openxmlformats.org/drawingml/2006/picture">
                      <pic:pic xmlns:pic="http://schemas.openxmlformats.org/drawingml/2006/picture">
                        <pic:nvPicPr>
                          <pic:cNvPr id="23" name="图片 23" descr="图片7"/>
                          <pic:cNvPicPr/>
                        </pic:nvPicPr>
                        <pic:blipFill>
                          <a:blip r:embed="rId25"/>
                          <a:stretch>
                            <a:fillRect/>
                          </a:stretch>
                        </pic:blipFill>
                        <pic:spPr>
                          <a:xfrm>
                            <a:off x="0" y="0"/>
                            <a:ext cx="2760980" cy="2019300"/>
                          </a:xfrm>
                          <a:prstGeom prst="rect">
                            <a:avLst/>
                          </a:prstGeom>
                        </pic:spPr>
                      </pic:pic>
                    </a:graphicData>
                  </a:graphic>
                </wp:inline>
              </w:drawing>
            </w:r>
          </w:p>
        </w:tc>
      </w:tr>
      <w:tr w14:paraId="37FA650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445" w:hRule="atLeast"/>
          <w:jc w:val="center"/>
        </w:trPr>
        <w:tc>
          <w:tcPr>
            <w:tcW w:w="4815" w:type="dxa"/>
            <w:vAlign w:val="center"/>
          </w:tcPr>
          <w:p w14:paraId="1A5DE47B">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钱江摩托股份（辅导1年）</w:t>
            </w:r>
          </w:p>
          <w:p w14:paraId="1F12F137">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《精益变革项目》</w:t>
            </w:r>
          </w:p>
        </w:tc>
        <w:tc>
          <w:tcPr>
            <w:tcW w:w="4813" w:type="dxa"/>
            <w:vAlign w:val="center"/>
          </w:tcPr>
          <w:p w14:paraId="34BC9D1A">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沙布雷企业大学（6期）</w:t>
            </w:r>
          </w:p>
          <w:p w14:paraId="42E3CB48">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《TPS精益生产管理》</w:t>
            </w:r>
          </w:p>
        </w:tc>
      </w:tr>
      <w:tr w14:paraId="70A1D80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580" w:hRule="atLeast"/>
          <w:jc w:val="center"/>
        </w:trPr>
        <w:tc>
          <w:tcPr>
            <w:tcW w:w="4815" w:type="dxa"/>
            <w:vAlign w:val="center"/>
          </w:tcPr>
          <w:p w14:paraId="1C023ED2">
            <w:pPr>
              <w:spacing w:line="240" w:lineRule="auto"/>
              <w:jc w:val="both"/>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21" name="图片 21" descr="图片5"/>
                  <wp:cNvGraphicFramePr/>
                  <a:graphic xmlns:a="http://schemas.openxmlformats.org/drawingml/2006/main">
                    <a:graphicData uri="http://schemas.openxmlformats.org/drawingml/2006/picture">
                      <pic:pic xmlns:pic="http://schemas.openxmlformats.org/drawingml/2006/picture">
                        <pic:nvPicPr>
                          <pic:cNvPr id="21" name="图片 21" descr="图片5"/>
                          <pic:cNvPicPr/>
                        </pic:nvPicPr>
                        <pic:blipFill>
                          <a:blip r:embed="rId26"/>
                          <a:stretch>
                            <a:fillRect/>
                          </a:stretch>
                        </pic:blipFill>
                        <pic:spPr>
                          <a:xfrm>
                            <a:off x="0" y="0"/>
                            <a:ext cx="2760980" cy="2019300"/>
                          </a:xfrm>
                          <a:prstGeom prst="rect">
                            <a:avLst/>
                          </a:prstGeom>
                        </pic:spPr>
                      </pic:pic>
                    </a:graphicData>
                  </a:graphic>
                </wp:inline>
              </w:drawing>
            </w:r>
          </w:p>
        </w:tc>
        <w:tc>
          <w:tcPr>
            <w:tcW w:w="4813" w:type="dxa"/>
            <w:vAlign w:val="center"/>
          </w:tcPr>
          <w:p w14:paraId="1D30B524">
            <w:pPr>
              <w:spacing w:line="240" w:lineRule="auto"/>
              <w:jc w:val="both"/>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22" name="图片 22" descr="图片6"/>
                  <wp:cNvGraphicFramePr/>
                  <a:graphic xmlns:a="http://schemas.openxmlformats.org/drawingml/2006/main">
                    <a:graphicData uri="http://schemas.openxmlformats.org/drawingml/2006/picture">
                      <pic:pic xmlns:pic="http://schemas.openxmlformats.org/drawingml/2006/picture">
                        <pic:nvPicPr>
                          <pic:cNvPr id="22" name="图片 22" descr="图片6"/>
                          <pic:cNvPicPr/>
                        </pic:nvPicPr>
                        <pic:blipFill>
                          <a:blip r:embed="rId27"/>
                          <a:stretch>
                            <a:fillRect/>
                          </a:stretch>
                        </pic:blipFill>
                        <pic:spPr>
                          <a:xfrm>
                            <a:off x="0" y="0"/>
                            <a:ext cx="2760980" cy="2019300"/>
                          </a:xfrm>
                          <a:prstGeom prst="rect">
                            <a:avLst/>
                          </a:prstGeom>
                        </pic:spPr>
                      </pic:pic>
                    </a:graphicData>
                  </a:graphic>
                </wp:inline>
              </w:drawing>
            </w:r>
          </w:p>
        </w:tc>
      </w:tr>
      <w:tr w14:paraId="3166E71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72" w:hRule="atLeast"/>
          <w:jc w:val="center"/>
        </w:trPr>
        <w:tc>
          <w:tcPr>
            <w:tcW w:w="4815" w:type="dxa"/>
            <w:vAlign w:val="center"/>
          </w:tcPr>
          <w:p w14:paraId="4289E8C6">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深圳长盈精密（2期）</w:t>
            </w:r>
          </w:p>
          <w:p w14:paraId="0BEA70D9">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《精益生产管理工具与方法》</w:t>
            </w:r>
          </w:p>
        </w:tc>
        <w:tc>
          <w:tcPr>
            <w:tcW w:w="4813" w:type="dxa"/>
            <w:vAlign w:val="center"/>
          </w:tcPr>
          <w:p w14:paraId="17027340">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湖北安琪生物集团</w:t>
            </w:r>
          </w:p>
          <w:p w14:paraId="3BF7EDB4">
            <w:pPr>
              <w:spacing w:line="360" w:lineRule="exact"/>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t>《IE工业工程实操训练辅导》</w:t>
            </w:r>
          </w:p>
        </w:tc>
      </w:tr>
      <w:tr w14:paraId="4ACD52C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3565" w:hRule="atLeast"/>
          <w:jc w:val="center"/>
        </w:trPr>
        <w:tc>
          <w:tcPr>
            <w:tcW w:w="4815" w:type="dxa"/>
            <w:vAlign w:val="center"/>
          </w:tcPr>
          <w:p w14:paraId="53BB0E07">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17" name="图片 17" descr="图片1"/>
                  <wp:cNvGraphicFramePr/>
                  <a:graphic xmlns:a="http://schemas.openxmlformats.org/drawingml/2006/main">
                    <a:graphicData uri="http://schemas.openxmlformats.org/drawingml/2006/picture">
                      <pic:pic xmlns:pic="http://schemas.openxmlformats.org/drawingml/2006/picture">
                        <pic:nvPicPr>
                          <pic:cNvPr id="17" name="图片 17" descr="图片1"/>
                          <pic:cNvPicPr/>
                        </pic:nvPicPr>
                        <pic:blipFill>
                          <a:blip r:embed="rId28"/>
                          <a:stretch>
                            <a:fillRect/>
                          </a:stretch>
                        </pic:blipFill>
                        <pic:spPr>
                          <a:xfrm>
                            <a:off x="0" y="0"/>
                            <a:ext cx="2760980" cy="2019300"/>
                          </a:xfrm>
                          <a:prstGeom prst="rect">
                            <a:avLst/>
                          </a:prstGeom>
                        </pic:spPr>
                      </pic:pic>
                    </a:graphicData>
                  </a:graphic>
                </wp:inline>
              </w:drawing>
            </w:r>
          </w:p>
        </w:tc>
        <w:tc>
          <w:tcPr>
            <w:tcW w:w="4813" w:type="dxa"/>
            <w:vAlign w:val="center"/>
          </w:tcPr>
          <w:p w14:paraId="4A160BBE">
            <w:pPr>
              <w:spacing w:line="240" w:lineRule="auto"/>
              <w:jc w:val="both"/>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24" name="图片 24" descr="a81129d7cb2accbc93e2cd6325e12e2"/>
                  <wp:cNvGraphicFramePr/>
                  <a:graphic xmlns:a="http://schemas.openxmlformats.org/drawingml/2006/main">
                    <a:graphicData uri="http://schemas.openxmlformats.org/drawingml/2006/picture">
                      <pic:pic xmlns:pic="http://schemas.openxmlformats.org/drawingml/2006/picture">
                        <pic:nvPicPr>
                          <pic:cNvPr id="24" name="图片 24" descr="a81129d7cb2accbc93e2cd6325e12e2"/>
                          <pic:cNvPicPr/>
                        </pic:nvPicPr>
                        <pic:blipFill>
                          <a:blip r:embed="rId29"/>
                          <a:srcRect l="3557"/>
                          <a:stretch>
                            <a:fillRect/>
                          </a:stretch>
                        </pic:blipFill>
                        <pic:spPr>
                          <a:xfrm>
                            <a:off x="0" y="0"/>
                            <a:ext cx="2760980" cy="2019300"/>
                          </a:xfrm>
                          <a:prstGeom prst="rect">
                            <a:avLst/>
                          </a:prstGeom>
                        </pic:spPr>
                      </pic:pic>
                    </a:graphicData>
                  </a:graphic>
                </wp:inline>
              </w:drawing>
            </w:r>
          </w:p>
        </w:tc>
      </w:tr>
      <w:tr w14:paraId="0B902D7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72" w:hRule="atLeast"/>
          <w:jc w:val="center"/>
        </w:trPr>
        <w:tc>
          <w:tcPr>
            <w:tcW w:w="4815" w:type="dxa"/>
            <w:vAlign w:val="center"/>
          </w:tcPr>
          <w:p w14:paraId="41ECDB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lang w:val="en-US" w:eastAsia="zh-CN"/>
              </w:rPr>
              <w:t>青海</w:t>
            </w:r>
            <w:r>
              <w:rPr>
                <w:rFonts w:hint="eastAsia" w:ascii="宋体" w:hAnsi="宋体" w:eastAsia="宋体" w:cs="宋体"/>
                <w:bCs/>
                <w:color w:val="auto"/>
                <w:sz w:val="18"/>
                <w:szCs w:val="18"/>
              </w:rPr>
              <w:t>盐湖股份（2期）</w:t>
            </w:r>
          </w:p>
          <w:p w14:paraId="36A9F3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《华为式班组长能力提升》</w:t>
            </w:r>
          </w:p>
        </w:tc>
        <w:tc>
          <w:tcPr>
            <w:tcW w:w="4813" w:type="dxa"/>
            <w:vAlign w:val="center"/>
          </w:tcPr>
          <w:p w14:paraId="30DF3F5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东方航空集团</w:t>
            </w:r>
          </w:p>
          <w:p w14:paraId="7F8E278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《精益生产管理实操演练》</w:t>
            </w:r>
          </w:p>
        </w:tc>
      </w:tr>
      <w:tr w14:paraId="6FFA51C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72" w:hRule="atLeast"/>
          <w:jc w:val="center"/>
        </w:trPr>
        <w:tc>
          <w:tcPr>
            <w:tcW w:w="4815" w:type="dxa"/>
            <w:vAlign w:val="center"/>
          </w:tcPr>
          <w:p w14:paraId="352D98D5">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34" name="图片 34" descr="2d524e143571fd81ccccbaf4a34a680"/>
                  <wp:cNvGraphicFramePr/>
                  <a:graphic xmlns:a="http://schemas.openxmlformats.org/drawingml/2006/main">
                    <a:graphicData uri="http://schemas.openxmlformats.org/drawingml/2006/picture">
                      <pic:pic xmlns:pic="http://schemas.openxmlformats.org/drawingml/2006/picture">
                        <pic:nvPicPr>
                          <pic:cNvPr id="34" name="图片 34" descr="2d524e143571fd81ccccbaf4a34a680"/>
                          <pic:cNvPicPr/>
                        </pic:nvPicPr>
                        <pic:blipFill>
                          <a:blip r:embed="rId30"/>
                          <a:stretch>
                            <a:fillRect/>
                          </a:stretch>
                        </pic:blipFill>
                        <pic:spPr>
                          <a:xfrm>
                            <a:off x="0" y="0"/>
                            <a:ext cx="2760980" cy="2019300"/>
                          </a:xfrm>
                          <a:prstGeom prst="rect">
                            <a:avLst/>
                          </a:prstGeom>
                        </pic:spPr>
                      </pic:pic>
                    </a:graphicData>
                  </a:graphic>
                </wp:inline>
              </w:drawing>
            </w:r>
          </w:p>
        </w:tc>
        <w:tc>
          <w:tcPr>
            <w:tcW w:w="4813" w:type="dxa"/>
            <w:vAlign w:val="center"/>
          </w:tcPr>
          <w:p w14:paraId="314CF25B">
            <w:pPr>
              <w:spacing w:line="240" w:lineRule="auto"/>
              <w:jc w:val="center"/>
              <w:rPr>
                <w:rFonts w:hint="eastAsia" w:ascii="宋体" w:hAnsi="宋体" w:eastAsia="宋体" w:cs="宋体"/>
                <w:bCs/>
                <w:color w:val="auto"/>
                <w:sz w:val="18"/>
                <w:szCs w:val="18"/>
              </w:rPr>
            </w:pPr>
            <w:r>
              <w:rPr>
                <w:rFonts w:hint="eastAsia" w:ascii="宋体" w:hAnsi="宋体" w:eastAsia="宋体" w:cs="宋体"/>
                <w:bCs/>
                <w:color w:val="auto"/>
                <w:sz w:val="18"/>
                <w:szCs w:val="18"/>
              </w:rPr>
              <w:drawing>
                <wp:inline distT="0" distB="0" distL="114300" distR="114300">
                  <wp:extent cx="2760980" cy="2019300"/>
                  <wp:effectExtent l="0" t="0" r="7620" b="0"/>
                  <wp:docPr id="26" name="图片 26" descr="ea52fac2a68d16462d0e0b40c2e84ef"/>
                  <wp:cNvGraphicFramePr/>
                  <a:graphic xmlns:a="http://schemas.openxmlformats.org/drawingml/2006/main">
                    <a:graphicData uri="http://schemas.openxmlformats.org/drawingml/2006/picture">
                      <pic:pic xmlns:pic="http://schemas.openxmlformats.org/drawingml/2006/picture">
                        <pic:nvPicPr>
                          <pic:cNvPr id="26" name="图片 26" descr="ea52fac2a68d16462d0e0b40c2e84ef"/>
                          <pic:cNvPicPr/>
                        </pic:nvPicPr>
                        <pic:blipFill>
                          <a:blip r:embed="rId31"/>
                          <a:stretch>
                            <a:fillRect/>
                          </a:stretch>
                        </pic:blipFill>
                        <pic:spPr>
                          <a:xfrm>
                            <a:off x="0" y="0"/>
                            <a:ext cx="2760980" cy="2019300"/>
                          </a:xfrm>
                          <a:prstGeom prst="rect">
                            <a:avLst/>
                          </a:prstGeom>
                        </pic:spPr>
                      </pic:pic>
                    </a:graphicData>
                  </a:graphic>
                </wp:inline>
              </w:drawing>
            </w:r>
          </w:p>
        </w:tc>
      </w:tr>
      <w:tr w14:paraId="1BF694F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rPr>
          <w:trHeight w:val="172" w:hRule="atLeast"/>
          <w:jc w:val="center"/>
        </w:trPr>
        <w:tc>
          <w:tcPr>
            <w:tcW w:w="4815" w:type="dxa"/>
            <w:vAlign w:val="center"/>
          </w:tcPr>
          <w:p w14:paraId="1F3583B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西铁城精电科技（2期）</w:t>
            </w:r>
          </w:p>
          <w:p w14:paraId="711FBB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《金牌班组长的八项技能训练》</w:t>
            </w:r>
          </w:p>
        </w:tc>
        <w:tc>
          <w:tcPr>
            <w:tcW w:w="4813" w:type="dxa"/>
            <w:vAlign w:val="center"/>
          </w:tcPr>
          <w:p w14:paraId="4D0D32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湖北中烟（2期）</w:t>
            </w:r>
          </w:p>
          <w:p w14:paraId="6970804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sz w:val="18"/>
                <w:szCs w:val="18"/>
              </w:rPr>
            </w:pPr>
            <w:r>
              <w:rPr>
                <w:rFonts w:hint="eastAsia" w:ascii="宋体" w:hAnsi="宋体" w:eastAsia="宋体" w:cs="宋体"/>
                <w:bCs/>
                <w:color w:val="auto"/>
                <w:sz w:val="18"/>
                <w:szCs w:val="18"/>
              </w:rPr>
              <w:t>《班组长团队协作》《问题分析与解决工作坊》</w:t>
            </w:r>
          </w:p>
        </w:tc>
      </w:tr>
    </w:tbl>
    <w:p w14:paraId="5DBE7C49">
      <w:pPr>
        <w:rPr>
          <w:rFonts w:hint="eastAsia" w:ascii="宋体" w:hAnsi="宋体" w:eastAsia="宋体" w:cs="宋体"/>
          <w:bCs/>
          <w:color w:val="auto"/>
        </w:rPr>
      </w:pPr>
    </w:p>
    <w:sectPr>
      <w:pgSz w:w="11906" w:h="16838"/>
      <w:pgMar w:top="1134" w:right="1134" w:bottom="1134" w:left="1134"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2D"/>
    <w:rsid w:val="00024AAE"/>
    <w:rsid w:val="0006714B"/>
    <w:rsid w:val="00083888"/>
    <w:rsid w:val="00091553"/>
    <w:rsid w:val="000B7897"/>
    <w:rsid w:val="00104697"/>
    <w:rsid w:val="0011285B"/>
    <w:rsid w:val="00116470"/>
    <w:rsid w:val="001831B0"/>
    <w:rsid w:val="001C2B53"/>
    <w:rsid w:val="001C783A"/>
    <w:rsid w:val="001D7A0B"/>
    <w:rsid w:val="0021524A"/>
    <w:rsid w:val="00246805"/>
    <w:rsid w:val="00273D4D"/>
    <w:rsid w:val="0028119C"/>
    <w:rsid w:val="00282A89"/>
    <w:rsid w:val="002876BE"/>
    <w:rsid w:val="0029059A"/>
    <w:rsid w:val="002B1998"/>
    <w:rsid w:val="002D6D9B"/>
    <w:rsid w:val="00301966"/>
    <w:rsid w:val="00310B67"/>
    <w:rsid w:val="0032610B"/>
    <w:rsid w:val="00327AF6"/>
    <w:rsid w:val="003317CD"/>
    <w:rsid w:val="0037110F"/>
    <w:rsid w:val="003F238E"/>
    <w:rsid w:val="003F6C29"/>
    <w:rsid w:val="004405E9"/>
    <w:rsid w:val="00442E54"/>
    <w:rsid w:val="00460CD9"/>
    <w:rsid w:val="004C3475"/>
    <w:rsid w:val="004C607F"/>
    <w:rsid w:val="004C7AA0"/>
    <w:rsid w:val="004D56D9"/>
    <w:rsid w:val="0059687F"/>
    <w:rsid w:val="005C21DF"/>
    <w:rsid w:val="005C6031"/>
    <w:rsid w:val="005F5051"/>
    <w:rsid w:val="00645227"/>
    <w:rsid w:val="00692353"/>
    <w:rsid w:val="00697C2C"/>
    <w:rsid w:val="006A6601"/>
    <w:rsid w:val="006D4011"/>
    <w:rsid w:val="006D7A58"/>
    <w:rsid w:val="00711BC9"/>
    <w:rsid w:val="00741807"/>
    <w:rsid w:val="007741A3"/>
    <w:rsid w:val="007841EB"/>
    <w:rsid w:val="0079221C"/>
    <w:rsid w:val="007B4C2D"/>
    <w:rsid w:val="007E7E8E"/>
    <w:rsid w:val="007F6FA1"/>
    <w:rsid w:val="00811A99"/>
    <w:rsid w:val="0086328D"/>
    <w:rsid w:val="008761AD"/>
    <w:rsid w:val="008C291B"/>
    <w:rsid w:val="00900902"/>
    <w:rsid w:val="0091748A"/>
    <w:rsid w:val="00951850"/>
    <w:rsid w:val="00987942"/>
    <w:rsid w:val="009B5F0D"/>
    <w:rsid w:val="009B7648"/>
    <w:rsid w:val="009C2BC4"/>
    <w:rsid w:val="009D0E65"/>
    <w:rsid w:val="009F3F45"/>
    <w:rsid w:val="00A031D4"/>
    <w:rsid w:val="00A0655D"/>
    <w:rsid w:val="00A321BB"/>
    <w:rsid w:val="00A53F50"/>
    <w:rsid w:val="00AB50AE"/>
    <w:rsid w:val="00AB7A95"/>
    <w:rsid w:val="00AD6C70"/>
    <w:rsid w:val="00AE3C7B"/>
    <w:rsid w:val="00AF2B05"/>
    <w:rsid w:val="00B32582"/>
    <w:rsid w:val="00B62576"/>
    <w:rsid w:val="00B66D34"/>
    <w:rsid w:val="00B67807"/>
    <w:rsid w:val="00B8799B"/>
    <w:rsid w:val="00C27E8B"/>
    <w:rsid w:val="00C4274B"/>
    <w:rsid w:val="00C8197E"/>
    <w:rsid w:val="00C8416A"/>
    <w:rsid w:val="00CD5211"/>
    <w:rsid w:val="00CE0A14"/>
    <w:rsid w:val="00D00F3A"/>
    <w:rsid w:val="00D5014B"/>
    <w:rsid w:val="00D535F6"/>
    <w:rsid w:val="00D7033D"/>
    <w:rsid w:val="00D71A5F"/>
    <w:rsid w:val="00D73D4A"/>
    <w:rsid w:val="00D74849"/>
    <w:rsid w:val="00D8189F"/>
    <w:rsid w:val="00DB3BD6"/>
    <w:rsid w:val="00DB63A0"/>
    <w:rsid w:val="00DC1FDA"/>
    <w:rsid w:val="00DD204B"/>
    <w:rsid w:val="00E001E3"/>
    <w:rsid w:val="00E166DE"/>
    <w:rsid w:val="00E53F35"/>
    <w:rsid w:val="00ED24C4"/>
    <w:rsid w:val="00EE0C08"/>
    <w:rsid w:val="00EF3567"/>
    <w:rsid w:val="00F03508"/>
    <w:rsid w:val="00F05593"/>
    <w:rsid w:val="00F23C7F"/>
    <w:rsid w:val="00FC0E5A"/>
    <w:rsid w:val="00FD6494"/>
    <w:rsid w:val="00FE365E"/>
    <w:rsid w:val="00FF23B5"/>
    <w:rsid w:val="01941722"/>
    <w:rsid w:val="08B80F05"/>
    <w:rsid w:val="119274AA"/>
    <w:rsid w:val="12B17ABD"/>
    <w:rsid w:val="14293FB4"/>
    <w:rsid w:val="17D244D2"/>
    <w:rsid w:val="1FF27AC0"/>
    <w:rsid w:val="22A00ECB"/>
    <w:rsid w:val="22B929B3"/>
    <w:rsid w:val="2B04529F"/>
    <w:rsid w:val="2E5642BC"/>
    <w:rsid w:val="403E4163"/>
    <w:rsid w:val="458610A1"/>
    <w:rsid w:val="45AA6F6F"/>
    <w:rsid w:val="45B15363"/>
    <w:rsid w:val="54AA3AAB"/>
    <w:rsid w:val="57051601"/>
    <w:rsid w:val="64BF2DD4"/>
    <w:rsid w:val="6F2562FD"/>
    <w:rsid w:val="71243FDA"/>
    <w:rsid w:val="750972E9"/>
    <w:rsid w:val="76202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exact"/>
    </w:pPr>
    <w:rPr>
      <w:rFonts w:ascii="宋体" w:hAnsi="宋体" w:eastAsia="宋体" w:cs="宋体"/>
      <w:color w:val="1F4E79"/>
      <w:kern w:val="2"/>
      <w:sz w:val="24"/>
      <w:szCs w:val="24"/>
      <w:lang w:val="en-US" w:eastAsia="zh-CN" w:bidi="ar-SA"/>
    </w:rPr>
  </w:style>
  <w:style w:type="paragraph" w:styleId="2">
    <w:name w:val="heading 2"/>
    <w:basedOn w:val="1"/>
    <w:next w:val="1"/>
    <w:semiHidden/>
    <w:unhideWhenUsed/>
    <w:qFormat/>
    <w:uiPriority w:val="9"/>
    <w:pPr>
      <w:spacing w:beforeAutospacing="1" w:afterAutospacing="1"/>
      <w:outlineLvl w:val="1"/>
    </w:pPr>
    <w:rPr>
      <w:rFonts w:hint="eastAsia" w:cs="Times New Roman"/>
      <w:b/>
      <w:bCs/>
      <w:kern w:val="0"/>
      <w:sz w:val="36"/>
      <w:szCs w:val="36"/>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semiHidden/>
    <w:unhideWhenUsed/>
    <w:qFormat/>
    <w:uiPriority w:val="99"/>
  </w:style>
  <w:style w:type="paragraph" w:styleId="5">
    <w:name w:val="footer"/>
    <w:basedOn w:val="1"/>
    <w:link w:val="14"/>
    <w:unhideWhenUsed/>
    <w:qFormat/>
    <w:uiPriority w:val="99"/>
    <w:pPr>
      <w:tabs>
        <w:tab w:val="center" w:pos="4153"/>
        <w:tab w:val="right" w:pos="8306"/>
      </w:tabs>
      <w:snapToGrid w:val="0"/>
      <w:spacing w:line="240" w:lineRule="atLeas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annotation subject"/>
    <w:basedOn w:val="4"/>
    <w:next w:val="4"/>
    <w:link w:val="19"/>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style1"/>
    <w:basedOn w:val="10"/>
    <w:qFormat/>
    <w:uiPriority w:val="0"/>
  </w:style>
  <w:style w:type="paragraph" w:customStyle="1" w:styleId="16">
    <w:name w:val="Char Char Char Char Char Char"/>
    <w:basedOn w:val="1"/>
    <w:qFormat/>
    <w:uiPriority w:val="0"/>
    <w:pPr>
      <w:spacing w:before="100" w:beforeAutospacing="1" w:after="100" w:afterAutospacing="1" w:line="360" w:lineRule="auto"/>
    </w:pPr>
    <w:rPr>
      <w:rFonts w:ascii="Times New Roman" w:hAnsi="Times New Roman" w:cs="Times New Roman"/>
      <w:color w:val="auto"/>
      <w:sz w:val="21"/>
      <w:szCs w:val="20"/>
    </w:rPr>
  </w:style>
  <w:style w:type="table" w:customStyle="1" w:styleId="17">
    <w:name w:val="网格型浅色1"/>
    <w:basedOn w:val="8"/>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customStyle="1" w:styleId="18">
    <w:name w:val="批注文字 字符"/>
    <w:basedOn w:val="10"/>
    <w:link w:val="4"/>
    <w:semiHidden/>
    <w:qFormat/>
    <w:uiPriority w:val="99"/>
  </w:style>
  <w:style w:type="character" w:customStyle="1" w:styleId="19">
    <w:name w:val="批注主题 字符"/>
    <w:basedOn w:val="18"/>
    <w:link w:val="7"/>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4312</Words>
  <Characters>4500</Characters>
  <Lines>33</Lines>
  <Paragraphs>9</Paragraphs>
  <TotalTime>7</TotalTime>
  <ScaleCrop>false</ScaleCrop>
  <LinksUpToDate>false</LinksUpToDate>
  <CharactersWithSpaces>4532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2025-12-04T15:07:00Z</dcterms:created>
  <dc:creator>admin、</dc:creator>
  <cp:lastModifiedBy>怛廖晷匙蔽</cp:lastModifiedBy>
  <dcterms:modified xsi:type="dcterms:W3CDTF">2026-04-01T02:10:47Z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eyJoZGlkIjoiOTYyZTAzNjk5NDI1ZDQ2MDE0NmJjNjAzOGEzODZkNDciLCJ1c2VySWQiOiIxNjk4MTg2NTUzIn0=</vt:lpwstr>
  </property>
  <property fmtid="{D5CDD505-2E9C-101B-9397-08002B2CF9AE}" pid="3" name="KSOProductBuildVer">
    <vt:lpwstr>2052-12.1.0.25225</vt:lpwstr>
  </property>
  <property fmtid="{D5CDD505-2E9C-101B-9397-08002B2CF9AE}" pid="4" name="ICV">
    <vt:lpwstr>723C6EA9D1A541229F2A21B2355D9EA3_13</vt:lpwstr>
  </property>
</Properties>
</file>