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2DE99">
      <w:pPr>
        <w:spacing w:line="480" w:lineRule="exact"/>
        <w:jc w:val="center"/>
        <w:rPr>
          <w:rFonts w:hint="eastAsia" w:ascii="宋体" w:hAnsi="宋体" w:cs="Arial"/>
          <w:b/>
          <w:color w:val="1F4E79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1F4E79"/>
          <w:kern w:val="0"/>
          <w:sz w:val="32"/>
          <w:szCs w:val="32"/>
        </w:rPr>
        <w:t>TPM全员生产维护——从5S到0故障</w:t>
      </w:r>
    </w:p>
    <w:p w14:paraId="72416BDC">
      <w:pPr>
        <w:spacing w:line="480" w:lineRule="exact"/>
        <w:rPr>
          <w:rFonts w:hint="eastAsia" w:ascii="宋体" w:hAnsi="宋体"/>
          <w:b/>
          <w:color w:val="1F4E79"/>
          <w:sz w:val="24"/>
          <w:szCs w:val="24"/>
        </w:rPr>
      </w:pPr>
    </w:p>
    <w:p w14:paraId="394FF52B">
      <w:pPr>
        <w:spacing w:line="480" w:lineRule="exact"/>
        <w:rPr>
          <w:rFonts w:ascii="宋体" w:hAnsi="宋体" w:cs="Arial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课程背</w:t>
      </w:r>
      <w:r>
        <w:rPr>
          <w:rFonts w:ascii="宋体" w:hAnsi="宋体" w:cs="Arial"/>
          <w:b/>
          <w:color w:val="1F4E79"/>
          <w:sz w:val="24"/>
          <w:szCs w:val="24"/>
        </w:rPr>
        <w:t>景：</w:t>
      </w:r>
    </w:p>
    <w:p w14:paraId="53C9AE88">
      <w:pPr>
        <w:spacing w:line="480" w:lineRule="exact"/>
        <w:ind w:firstLine="480" w:firstLineChars="200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当前制造业正面临双重压力：一方面，市场竞争白热化，客户对交付周期、产品质量的要求持续提升，原材料与人力成本上涨挤压利润空间；另一方面，工业4.0推动设备自动化、智能化升级，设备复杂度显著增加，传统“事后维修”模式已难以应对故障频发、停机时间长、备件消耗大等问题，不少企业陷入“效率低-成本高-质量波动”的恶性循环，甚至因设备安全隐患违反环保与安全生产法规，错失市场机遇。</w:t>
      </w:r>
    </w:p>
    <w:p w14:paraId="14AF6089">
      <w:pPr>
        <w:spacing w:line="480" w:lineRule="exact"/>
        <w:ind w:firstLine="480" w:firstLineChars="200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ascii="宋体" w:hAnsi="宋体" w:cs="Arial"/>
          <w:sz w:val="24"/>
          <w:szCs w:val="24"/>
          <w:shd w:val="clear" w:color="auto" w:fill="FFFFFF"/>
        </w:rPr>
        <w:t>TPM作为当今制造业管理的重要潮流，其实施效果已经得到了广泛验证。《TPM全员设备维护保养》课程为制造业干部提供了一个系统学习和实践TPM的平台，帮助企业实现生产效率和效益的双重提升。对于希望在激烈市场竞争中脱颖而出的制造型企业来说，TPM无疑是一条最直接、最有效的途径</w:t>
      </w:r>
      <w:r>
        <w:rPr>
          <w:rFonts w:hint="eastAsia" w:ascii="宋体" w:hAnsi="宋体" w:cs="Arial"/>
          <w:sz w:val="24"/>
          <w:szCs w:val="24"/>
          <w:shd w:val="clear" w:color="auto" w:fill="FFFFFF"/>
        </w:rPr>
        <w:t>。</w:t>
      </w:r>
    </w:p>
    <w:p w14:paraId="0BA34CF1">
      <w:pPr>
        <w:spacing w:line="480" w:lineRule="exact"/>
        <w:ind w:firstLine="480" w:firstLineChars="200"/>
        <w:rPr>
          <w:rFonts w:hint="eastAsia"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本课程以“从5S到0故障”为核心，采用理论+实践案例教学，先让学员掌握5S现场管理、设备点检等基础方法，夯实全员参与基础；再深入讲解预防性维护体系搭建、OEE提升技巧，解决设备故障多、停机久问题；还融入智能制造下设备数字化管理工具应用，助力企业降低维修成本与资源浪费，提升员工技能，最终实现故障停机时间降低、控成本、保安全，筑牢智能制造转型竞争力。</w:t>
      </w:r>
    </w:p>
    <w:p w14:paraId="67E341ED">
      <w:pPr>
        <w:spacing w:line="480" w:lineRule="exact"/>
        <w:rPr>
          <w:rFonts w:hint="eastAsia" w:ascii="宋体" w:hAnsi="宋体"/>
          <w:b/>
          <w:color w:val="1F4E79"/>
          <w:sz w:val="24"/>
          <w:szCs w:val="24"/>
        </w:rPr>
      </w:pPr>
    </w:p>
    <w:p w14:paraId="4B7D3468">
      <w:pPr>
        <w:spacing w:line="480" w:lineRule="exact"/>
        <w:rPr>
          <w:rFonts w:hint="eastAsia"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课程收益：</w:t>
      </w:r>
    </w:p>
    <w:p w14:paraId="5F7D7345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1. 掌握TPM体系搭建与落地方法，提升全流程设备管理能力；</w:t>
      </w:r>
    </w:p>
    <w:p w14:paraId="66C5B699">
      <w:pPr>
        <w:spacing w:line="480" w:lineRule="exact"/>
        <w:rPr>
          <w:rFonts w:hint="eastAsia"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2. 学会OEE计算与生产损失分析方法，提升效率优化能力；</w:t>
      </w:r>
    </w:p>
    <w:p w14:paraId="6DE3A715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3. 掌握设备维护实操工具与技巧，提升故障预防与解决能力；</w:t>
      </w:r>
    </w:p>
    <w:p w14:paraId="6737D589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4. 掌握TPM全员参与推进方法，提升团队协同与管理能力；</w:t>
      </w:r>
    </w:p>
    <w:p w14:paraId="4EFD1673">
      <w:pPr>
        <w:spacing w:line="480" w:lineRule="exact"/>
        <w:rPr>
          <w:rFonts w:hint="eastAsia"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>5. 学会结合数字化工具推进TPM，提升智能制造适配能力。</w:t>
      </w:r>
    </w:p>
    <w:p w14:paraId="459A6F45">
      <w:pPr>
        <w:spacing w:line="480" w:lineRule="exact"/>
        <w:rPr>
          <w:rFonts w:hint="eastAsia" w:ascii="宋体" w:hAnsi="宋体"/>
          <w:b/>
          <w:color w:val="1F4E79"/>
          <w:sz w:val="24"/>
          <w:szCs w:val="24"/>
        </w:rPr>
      </w:pPr>
    </w:p>
    <w:p w14:paraId="1D50660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课程时间：</w:t>
      </w:r>
      <w:r>
        <w:rPr>
          <w:rFonts w:hint="eastAsia" w:ascii="宋体" w:hAnsi="宋体"/>
          <w:sz w:val="24"/>
          <w:szCs w:val="24"/>
        </w:rPr>
        <w:t>1天，6小时/天</w:t>
      </w:r>
    </w:p>
    <w:p w14:paraId="3067EC9F">
      <w:pPr>
        <w:tabs>
          <w:tab w:val="left" w:pos="2535"/>
        </w:tabs>
        <w:spacing w:line="480" w:lineRule="exact"/>
        <w:rPr>
          <w:rFonts w:hint="eastAsia"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课程对象：</w:t>
      </w:r>
      <w:r>
        <w:rPr>
          <w:rFonts w:hint="eastAsia" w:ascii="宋体" w:hAnsi="宋体"/>
          <w:sz w:val="24"/>
          <w:szCs w:val="24"/>
        </w:rPr>
        <w:t>制造业</w:t>
      </w:r>
      <w:r>
        <w:rPr>
          <w:rFonts w:hint="eastAsia" w:ascii="宋体" w:hAnsi="宋体"/>
          <w:bCs/>
          <w:color w:val="000000"/>
          <w:sz w:val="24"/>
          <w:szCs w:val="24"/>
        </w:rPr>
        <w:t>各职能部门经理、主管及生产部门、设备维护保养部门班组长级以上干部</w:t>
      </w:r>
    </w:p>
    <w:p w14:paraId="1DED58D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课程方式：</w:t>
      </w:r>
      <w:r>
        <w:rPr>
          <w:rFonts w:hint="eastAsia" w:ascii="宋体" w:hAnsi="宋体"/>
          <w:sz w:val="24"/>
          <w:szCs w:val="24"/>
        </w:rPr>
        <w:t>理论讲授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数据分析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图片分享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工具介绍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工具演练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分组讨论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结果发布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讲师点评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课后作业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内容考试与标准答案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</w:rPr>
        <w:t>改善计划</w:t>
      </w:r>
    </w:p>
    <w:p w14:paraId="3D9FEF81">
      <w:pPr>
        <w:spacing w:line="480" w:lineRule="exact"/>
        <w:rPr>
          <w:rFonts w:hint="eastAsia" w:ascii="宋体" w:hAnsi="宋体"/>
          <w:sz w:val="24"/>
          <w:szCs w:val="24"/>
        </w:rPr>
      </w:pPr>
    </w:p>
    <w:p w14:paraId="32CD360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课程工具报表：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 w14:paraId="2866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77B07B10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设备运行状态报表</w:t>
            </w:r>
          </w:p>
        </w:tc>
        <w:tc>
          <w:tcPr>
            <w:tcW w:w="3209" w:type="dxa"/>
          </w:tcPr>
          <w:p w14:paraId="486E08A7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设备故障记录表</w:t>
            </w:r>
          </w:p>
        </w:tc>
        <w:tc>
          <w:tcPr>
            <w:tcW w:w="3210" w:type="dxa"/>
          </w:tcPr>
          <w:p w14:paraId="404EC19D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设备维护保养计划表</w:t>
            </w:r>
          </w:p>
        </w:tc>
      </w:tr>
      <w:tr w14:paraId="0727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7F67E700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设备综合效率（OEE）报表</w:t>
            </w:r>
          </w:p>
        </w:tc>
        <w:tc>
          <w:tcPr>
            <w:tcW w:w="3209" w:type="dxa"/>
          </w:tcPr>
          <w:p w14:paraId="5015E37C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生产损失分析表</w:t>
            </w:r>
          </w:p>
        </w:tc>
        <w:tc>
          <w:tcPr>
            <w:tcW w:w="3210" w:type="dxa"/>
          </w:tcPr>
          <w:p w14:paraId="72C4E8E1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改善活动跟踪表</w:t>
            </w:r>
          </w:p>
        </w:tc>
      </w:tr>
      <w:tr w14:paraId="705A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7E832EE1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备件库存管理表</w:t>
            </w:r>
          </w:p>
        </w:tc>
        <w:tc>
          <w:tcPr>
            <w:tcW w:w="3209" w:type="dxa"/>
          </w:tcPr>
          <w:p w14:paraId="09AA58E4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员工技能矩阵表</w:t>
            </w:r>
          </w:p>
        </w:tc>
        <w:tc>
          <w:tcPr>
            <w:tcW w:w="3210" w:type="dxa"/>
          </w:tcPr>
          <w:p w14:paraId="6720CCB6">
            <w:pPr>
              <w:spacing w:line="480" w:lineRule="exac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TPM活动成果汇总表</w:t>
            </w:r>
          </w:p>
        </w:tc>
      </w:tr>
    </w:tbl>
    <w:p w14:paraId="7BB7BD54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</w:p>
    <w:p w14:paraId="7E5A0135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33D46B41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第一</w:t>
      </w:r>
      <w:r>
        <w:rPr>
          <w:rFonts w:hint="eastAsia" w:ascii="宋体" w:hAnsi="宋体"/>
          <w:b/>
          <w:color w:val="1F4E79"/>
          <w:sz w:val="24"/>
          <w:szCs w:val="24"/>
        </w:rPr>
        <w:t>讲</w:t>
      </w:r>
      <w:r>
        <w:rPr>
          <w:rFonts w:ascii="宋体" w:hAnsi="宋体"/>
          <w:b/>
          <w:color w:val="1F4E79"/>
          <w:sz w:val="24"/>
          <w:szCs w:val="24"/>
        </w:rPr>
        <w:t>：</w:t>
      </w:r>
      <w:r>
        <w:rPr>
          <w:rFonts w:hint="eastAsia" w:ascii="宋体" w:hAnsi="宋体"/>
          <w:b/>
          <w:color w:val="1F4E79"/>
          <w:sz w:val="24"/>
          <w:szCs w:val="24"/>
        </w:rPr>
        <w:t>认知基础——TPM的理念与价值</w:t>
      </w:r>
    </w:p>
    <w:p w14:paraId="62763257">
      <w:pPr>
        <w:spacing w:line="480" w:lineRule="exact"/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一、</w:t>
      </w:r>
      <w:r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TPM的定义与发展历程</w:t>
      </w:r>
    </w:p>
    <w:p w14:paraId="1BC28D07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1. </w:t>
      </w:r>
      <w:r>
        <w:rPr>
          <w:rFonts w:ascii="宋体" w:hAnsi="宋体" w:cs="Arial"/>
          <w:sz w:val="24"/>
          <w:szCs w:val="24"/>
          <w:shd w:val="clear" w:color="auto" w:fill="FFFFFF"/>
        </w:rPr>
        <w:t>TPM的起源与演变</w:t>
      </w:r>
    </w:p>
    <w:p w14:paraId="377D0EF3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2. </w:t>
      </w:r>
      <w:r>
        <w:rPr>
          <w:rFonts w:ascii="宋体" w:hAnsi="宋体" w:cs="Arial"/>
          <w:sz w:val="24"/>
          <w:szCs w:val="24"/>
          <w:shd w:val="clear" w:color="auto" w:fill="FFFFFF"/>
        </w:rPr>
        <w:t>TPM在全球制造业的应用现状</w:t>
      </w:r>
    </w:p>
    <w:p w14:paraId="60BAC329">
      <w:pPr>
        <w:spacing w:line="480" w:lineRule="exact"/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二、</w:t>
      </w:r>
      <w:r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TPM的核心理念与目标</w:t>
      </w:r>
    </w:p>
    <w:p w14:paraId="6756BDFA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1. </w:t>
      </w:r>
      <w:r>
        <w:rPr>
          <w:rFonts w:ascii="宋体" w:hAnsi="宋体" w:cs="Arial"/>
          <w:sz w:val="24"/>
          <w:szCs w:val="24"/>
          <w:shd w:val="clear" w:color="auto" w:fill="FFFFFF"/>
        </w:rPr>
        <w:t>零故障、零不良、零事故</w:t>
      </w:r>
    </w:p>
    <w:p w14:paraId="684DABD3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2. </w:t>
      </w:r>
      <w:r>
        <w:rPr>
          <w:rFonts w:ascii="宋体" w:hAnsi="宋体" w:cs="Arial"/>
          <w:sz w:val="24"/>
          <w:szCs w:val="24"/>
          <w:shd w:val="clear" w:color="auto" w:fill="FFFFFF"/>
        </w:rPr>
        <w:t>全员参与与持续改善</w:t>
      </w:r>
    </w:p>
    <w:p w14:paraId="4852B8F7">
      <w:pPr>
        <w:spacing w:line="480" w:lineRule="exact"/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三、</w:t>
      </w:r>
      <w:r>
        <w:rPr>
          <w:rFonts w:ascii="宋体" w:hAnsi="宋体" w:cs="Arial"/>
          <w:b/>
          <w:bCs/>
          <w:color w:val="C55A11" w:themeColor="accent2" w:themeShade="BF"/>
          <w:sz w:val="24"/>
          <w:szCs w:val="24"/>
          <w:shd w:val="clear" w:color="auto" w:fill="FFFFFF"/>
        </w:rPr>
        <w:t>TPM的实施价值</w:t>
      </w:r>
    </w:p>
    <w:p w14:paraId="672AE181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1. </w:t>
      </w:r>
      <w:r>
        <w:rPr>
          <w:rFonts w:ascii="宋体" w:hAnsi="宋体" w:cs="Arial"/>
          <w:sz w:val="24"/>
          <w:szCs w:val="24"/>
          <w:shd w:val="clear" w:color="auto" w:fill="FFFFFF"/>
        </w:rPr>
        <w:t>提升生产效率</w:t>
      </w:r>
    </w:p>
    <w:p w14:paraId="017EADBD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2. </w:t>
      </w:r>
      <w:r>
        <w:rPr>
          <w:rFonts w:ascii="宋体" w:hAnsi="宋体" w:cs="Arial"/>
          <w:sz w:val="24"/>
          <w:szCs w:val="24"/>
          <w:shd w:val="clear" w:color="auto" w:fill="FFFFFF"/>
        </w:rPr>
        <w:t>降低运营成本</w:t>
      </w:r>
    </w:p>
    <w:p w14:paraId="4C6F655C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3. </w:t>
      </w:r>
      <w:r>
        <w:rPr>
          <w:rFonts w:ascii="宋体" w:hAnsi="宋体" w:cs="Arial"/>
          <w:sz w:val="24"/>
          <w:szCs w:val="24"/>
          <w:shd w:val="clear" w:color="auto" w:fill="FFFFFF"/>
        </w:rPr>
        <w:t>改善产品品质</w:t>
      </w:r>
    </w:p>
    <w:p w14:paraId="697ADE3B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sz w:val="24"/>
          <w:szCs w:val="24"/>
          <w:shd w:val="clear" w:color="auto" w:fill="FFFFFF"/>
        </w:rPr>
        <w:t xml:space="preserve">4. </w:t>
      </w:r>
      <w:r>
        <w:rPr>
          <w:rFonts w:ascii="宋体" w:hAnsi="宋体" w:cs="Arial"/>
          <w:sz w:val="24"/>
          <w:szCs w:val="24"/>
          <w:shd w:val="clear" w:color="auto" w:fill="FFFFFF"/>
        </w:rPr>
        <w:t>增强企业竞争力</w:t>
      </w:r>
    </w:p>
    <w:p w14:paraId="67AD8858">
      <w:pPr>
        <w:spacing w:line="480" w:lineRule="exact"/>
        <w:rPr>
          <w:rFonts w:ascii="宋体" w:hAnsi="宋体" w:cs="Arial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cs="Arial"/>
          <w:b/>
          <w:bCs/>
          <w:color w:val="auto"/>
          <w:sz w:val="24"/>
          <w:szCs w:val="24"/>
          <w:shd w:val="clear" w:color="auto" w:fill="FFFFFF"/>
        </w:rPr>
        <w:t>案例：</w:t>
      </w:r>
      <w:r>
        <w:rPr>
          <w:rFonts w:hint="eastAsia" w:ascii="宋体" w:hAnsi="宋体" w:cs="Arial"/>
          <w:color w:val="auto"/>
          <w:sz w:val="24"/>
          <w:szCs w:val="24"/>
          <w:shd w:val="clear" w:color="auto" w:fill="FFFFFF"/>
        </w:rPr>
        <w:t>丰田汽车通过推行TPM</w:t>
      </w:r>
    </w:p>
    <w:p w14:paraId="581216C2">
      <w:pPr>
        <w:spacing w:line="480" w:lineRule="exact"/>
        <w:rPr>
          <w:rFonts w:ascii="宋体" w:hAnsi="宋体" w:cs="Arial"/>
          <w:sz w:val="24"/>
          <w:szCs w:val="24"/>
          <w:shd w:val="clear" w:color="auto" w:fill="FFFFFF"/>
        </w:rPr>
      </w:pPr>
    </w:p>
    <w:p w14:paraId="1817BCDF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第二</w:t>
      </w:r>
      <w:r>
        <w:rPr>
          <w:rFonts w:hint="eastAsia" w:ascii="宋体" w:hAnsi="宋体"/>
          <w:b/>
          <w:color w:val="1F4E79"/>
          <w:sz w:val="24"/>
          <w:szCs w:val="24"/>
        </w:rPr>
        <w:t>讲</w:t>
      </w:r>
      <w:r>
        <w:rPr>
          <w:rFonts w:ascii="宋体" w:hAnsi="宋体"/>
          <w:b/>
          <w:color w:val="1F4E79"/>
          <w:sz w:val="24"/>
          <w:szCs w:val="24"/>
        </w:rPr>
        <w:t>：</w:t>
      </w:r>
      <w:r>
        <w:rPr>
          <w:rFonts w:hint="eastAsia" w:ascii="宋体" w:hAnsi="宋体"/>
          <w:b/>
          <w:color w:val="1F4E79"/>
          <w:sz w:val="24"/>
          <w:szCs w:val="24"/>
        </w:rPr>
        <w:t>TPM体系核心——八大支柱的逻辑与落地要点</w:t>
      </w:r>
    </w:p>
    <w:p w14:paraId="4989E6FD">
      <w:pPr>
        <w:widowControl/>
        <w:tabs>
          <w:tab w:val="left" w:pos="720"/>
        </w:tabs>
        <w:spacing w:line="480" w:lineRule="exact"/>
        <w:rPr>
          <w:rFonts w:ascii="宋体" w:hAnsi="宋体"/>
          <w:color w:val="C55A11" w:themeColor="accent2" w:themeShade="BF"/>
          <w:sz w:val="24"/>
          <w:szCs w:val="24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一、</w:t>
      </w:r>
      <w:r>
        <w:rPr>
          <w:rStyle w:val="10"/>
          <w:rFonts w:ascii="宋体" w:hAnsi="宋体" w:cs="Segoe UI"/>
          <w:color w:val="C55A11" w:themeColor="accent2" w:themeShade="BF"/>
          <w:sz w:val="24"/>
          <w:szCs w:val="24"/>
        </w:rPr>
        <w:t>自主维护</w:t>
      </w: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：让操作人员成为“设备主人”</w:t>
      </w:r>
    </w:p>
    <w:p w14:paraId="0C85328C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操作人员的设备维护职责</w:t>
      </w:r>
    </w:p>
    <w:p w14:paraId="2C7984B6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b/>
          <w:bCs/>
          <w:sz w:val="24"/>
          <w:szCs w:val="24"/>
          <w:highlight w:val="none"/>
        </w:rPr>
      </w:pPr>
      <w:r>
        <w:rPr>
          <w:rFonts w:hint="eastAsia" w:ascii="宋体" w:hAnsi="宋体" w:cs="Segoe UI"/>
          <w:b/>
          <w:bCs/>
          <w:sz w:val="24"/>
          <w:szCs w:val="24"/>
          <w:highlight w:val="none"/>
        </w:rPr>
        <w:t xml:space="preserve">2. </w:t>
      </w:r>
      <w:r>
        <w:rPr>
          <w:rFonts w:ascii="宋体" w:hAnsi="宋体" w:cs="Segoe UI"/>
          <w:b/>
          <w:bCs/>
          <w:sz w:val="24"/>
          <w:szCs w:val="24"/>
          <w:highlight w:val="none"/>
        </w:rPr>
        <w:t>自主维护的七个步骤</w:t>
      </w:r>
    </w:p>
    <w:p w14:paraId="07FFAE54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1）</w:t>
      </w:r>
      <w:r>
        <w:rPr>
          <w:rFonts w:hint="eastAsia" w:ascii="宋体" w:hAnsi="宋体"/>
          <w:sz w:val="24"/>
          <w:szCs w:val="24"/>
        </w:rPr>
        <w:t>初期清扫</w:t>
      </w:r>
    </w:p>
    <w:p w14:paraId="17EA38D2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2）</w:t>
      </w:r>
      <w:r>
        <w:rPr>
          <w:rFonts w:hint="eastAsia" w:ascii="宋体" w:hAnsi="宋体"/>
          <w:sz w:val="24"/>
          <w:szCs w:val="24"/>
        </w:rPr>
        <w:t>发生源困难部位</w:t>
      </w:r>
      <w:r>
        <w:rPr>
          <w:rFonts w:hint="eastAsia" w:ascii="宋体" w:hAnsi="宋体"/>
          <w:sz w:val="24"/>
          <w:szCs w:val="24"/>
          <w:lang w:val="en-US" w:eastAsia="zh-CN"/>
        </w:rPr>
        <w:t>应对</w:t>
      </w:r>
    </w:p>
    <w:p w14:paraId="519094A4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3）</w:t>
      </w:r>
      <w:r>
        <w:rPr>
          <w:rFonts w:hint="eastAsia" w:ascii="宋体" w:hAnsi="宋体"/>
          <w:sz w:val="24"/>
          <w:szCs w:val="24"/>
        </w:rPr>
        <w:t>制定自主维护临时基准</w:t>
      </w:r>
    </w:p>
    <w:p w14:paraId="4CA95A4D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4）</w:t>
      </w:r>
      <w:r>
        <w:rPr>
          <w:rFonts w:hint="eastAsia" w:ascii="宋体" w:hAnsi="宋体"/>
          <w:sz w:val="24"/>
          <w:szCs w:val="24"/>
        </w:rPr>
        <w:t>总点检</w:t>
      </w:r>
    </w:p>
    <w:p w14:paraId="0A1DBA54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5）</w:t>
      </w:r>
      <w:r>
        <w:rPr>
          <w:rFonts w:hint="eastAsia" w:ascii="宋体" w:hAnsi="宋体"/>
          <w:sz w:val="24"/>
          <w:szCs w:val="24"/>
        </w:rPr>
        <w:t>自主点检</w:t>
      </w:r>
    </w:p>
    <w:p w14:paraId="13FD96D7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6）</w:t>
      </w:r>
      <w:r>
        <w:rPr>
          <w:rFonts w:hint="eastAsia" w:ascii="宋体" w:hAnsi="宋体"/>
          <w:sz w:val="24"/>
          <w:szCs w:val="24"/>
        </w:rPr>
        <w:t>标准化</w:t>
      </w:r>
    </w:p>
    <w:p w14:paraId="467CBE0C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7）</w:t>
      </w:r>
      <w:r>
        <w:rPr>
          <w:rFonts w:hint="eastAsia" w:ascii="宋体" w:hAnsi="宋体"/>
          <w:sz w:val="24"/>
          <w:szCs w:val="24"/>
        </w:rPr>
        <w:t>自主管理</w:t>
      </w:r>
    </w:p>
    <w:p w14:paraId="741FAB8E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案例：</w:t>
      </w:r>
      <w:r>
        <w:rPr>
          <w:rFonts w:hint="eastAsia" w:ascii="宋体" w:hAnsi="宋体"/>
          <w:sz w:val="24"/>
          <w:szCs w:val="24"/>
        </w:rPr>
        <w:t>某汽车零部件厂让冲压车间操作员承担设备日常清扫与点检</w:t>
      </w:r>
      <w:bookmarkStart w:id="0" w:name="_GoBack"/>
      <w:bookmarkEnd w:id="0"/>
    </w:p>
    <w:p w14:paraId="581109D2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二、计划维护：构建预防性维护体系</w:t>
      </w:r>
    </w:p>
    <w:p w14:paraId="108A5952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 w:cs="Segoe UI"/>
          <w:b/>
          <w:bCs/>
          <w:sz w:val="24"/>
          <w:szCs w:val="24"/>
        </w:rPr>
        <w:t xml:space="preserve">1. </w:t>
      </w:r>
      <w:r>
        <w:rPr>
          <w:rFonts w:ascii="宋体" w:hAnsi="宋体" w:cs="Segoe UI"/>
          <w:b/>
          <w:bCs/>
          <w:sz w:val="24"/>
          <w:szCs w:val="24"/>
        </w:rPr>
        <w:t>维护计划的制定与执行</w:t>
      </w:r>
    </w:p>
    <w:p w14:paraId="24EBD497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1）设备分类</w:t>
      </w:r>
    </w:p>
    <w:p w14:paraId="65159F0A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2）维护需求分析</w:t>
      </w:r>
    </w:p>
    <w:p w14:paraId="0132B64A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3）计划编制</w:t>
      </w:r>
    </w:p>
    <w:p w14:paraId="5384581F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4）计划执行与跟踪</w:t>
      </w:r>
    </w:p>
    <w:p w14:paraId="18BCD01D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2. 维护模式升级</w:t>
      </w:r>
    </w:p>
    <w:p w14:paraId="341CD3D0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  <w:lang w:eastAsia="zh-CN"/>
        </w:rPr>
        <w:t>——</w:t>
      </w:r>
      <w:r>
        <w:rPr>
          <w:rFonts w:hint="eastAsia" w:ascii="宋体" w:hAnsi="宋体" w:cs="Segoe UI"/>
          <w:sz w:val="24"/>
          <w:szCs w:val="24"/>
        </w:rPr>
        <w:t>从预防性维护到预测性维护</w:t>
      </w:r>
    </w:p>
    <w:p w14:paraId="198523B7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三、</w:t>
      </w:r>
      <w:r>
        <w:rPr>
          <w:rStyle w:val="10"/>
          <w:rFonts w:ascii="宋体" w:hAnsi="宋体" w:cs="Segoe UI"/>
          <w:color w:val="C55A11" w:themeColor="accent2" w:themeShade="BF"/>
          <w:sz w:val="24"/>
          <w:szCs w:val="24"/>
        </w:rPr>
        <w:t>个别改善</w:t>
      </w: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：</w:t>
      </w:r>
      <w:r>
        <w:rPr>
          <w:rFonts w:ascii="宋体" w:hAnsi="宋体" w:cs="Segoe UI"/>
          <w:b/>
          <w:color w:val="C55A11" w:themeColor="accent2" w:themeShade="BF"/>
          <w:sz w:val="24"/>
          <w:szCs w:val="24"/>
        </w:rPr>
        <w:t>聚焦生产损失的精准消除</w:t>
      </w:r>
    </w:p>
    <w:p w14:paraId="6FD00B34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 w:cs="Segoe UI"/>
          <w:b/>
          <w:bCs/>
          <w:sz w:val="24"/>
          <w:szCs w:val="24"/>
        </w:rPr>
        <w:t xml:space="preserve">1. </w:t>
      </w:r>
      <w:r>
        <w:rPr>
          <w:rFonts w:hint="eastAsia" w:ascii="宋体" w:hAnsi="宋体" w:cs="Segoe UI"/>
          <w:b/>
          <w:bCs/>
          <w:sz w:val="24"/>
          <w:szCs w:val="24"/>
          <w:lang w:val="en-US" w:eastAsia="zh-CN"/>
        </w:rPr>
        <w:t>两大方法</w:t>
      </w:r>
      <w:r>
        <w:rPr>
          <w:rFonts w:ascii="宋体" w:hAnsi="宋体" w:cs="Segoe UI"/>
          <w:b/>
          <w:bCs/>
          <w:sz w:val="24"/>
          <w:szCs w:val="24"/>
        </w:rPr>
        <w:t>识别生产中的损失</w:t>
      </w:r>
    </w:p>
    <w:p w14:paraId="33A158AE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1）现场观察法</w:t>
      </w:r>
    </w:p>
    <w:p w14:paraId="4C86E127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eastAsia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sz w:val="24"/>
          <w:szCs w:val="24"/>
          <w:lang w:val="en-US" w:eastAsia="zh-CN"/>
        </w:rPr>
        <w:t>2）数据分析法</w:t>
      </w:r>
    </w:p>
    <w:p w14:paraId="3D80BDEA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制定和实施改善措施</w:t>
      </w:r>
    </w:p>
    <w:p w14:paraId="758C6B7B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sz w:val="24"/>
          <w:szCs w:val="24"/>
        </w:rPr>
      </w:pPr>
      <w:r>
        <w:rPr>
          <w:rFonts w:hint="eastAsia" w:ascii="宋体" w:hAnsi="宋体" w:cs="Segoe UI"/>
          <w:b/>
          <w:bCs/>
          <w:sz w:val="24"/>
          <w:szCs w:val="24"/>
          <w:lang w:val="en-US" w:eastAsia="zh-CN"/>
        </w:rPr>
        <w:t>工具：</w:t>
      </w:r>
      <w:r>
        <w:rPr>
          <w:rFonts w:hint="eastAsia" w:ascii="宋体" w:hAnsi="宋体" w:cs="Segoe UI"/>
          <w:sz w:val="24"/>
          <w:szCs w:val="24"/>
        </w:rPr>
        <w:t>PDCA循环</w:t>
      </w:r>
    </w:p>
    <w:p w14:paraId="47103DAE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四、初期管理：从源头降低设备全生命周期成本</w:t>
      </w:r>
    </w:p>
    <w:p w14:paraId="4A09DCE3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新设备的设计与引进</w:t>
      </w:r>
    </w:p>
    <w:p w14:paraId="7725642F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设备安装与调试的优化</w:t>
      </w:r>
    </w:p>
    <w:p w14:paraId="0FC6E1B8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五、品质维护：设备与品质的联动管理</w:t>
      </w:r>
    </w:p>
    <w:p w14:paraId="66335DE2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1. 设备维护对产品品质的支撑</w:t>
      </w:r>
    </w:p>
    <w:p w14:paraId="5EBE431A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品质问题的分析与解决</w:t>
      </w:r>
    </w:p>
    <w:p w14:paraId="6A34E2CD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b/>
          <w:bCs/>
          <w:sz w:val="24"/>
          <w:szCs w:val="24"/>
          <w:lang w:val="en-US" w:eastAsia="zh-CN"/>
        </w:rPr>
        <w:t>工具：</w:t>
      </w:r>
      <w:r>
        <w:rPr>
          <w:rFonts w:hint="eastAsia" w:ascii="宋体" w:hAnsi="宋体" w:cs="Segoe UI"/>
          <w:sz w:val="24"/>
          <w:szCs w:val="24"/>
          <w:lang w:val="en-US" w:eastAsia="zh-CN"/>
        </w:rPr>
        <w:t>设备故障记录表、5Why分析法</w:t>
      </w:r>
    </w:p>
    <w:p w14:paraId="73F42D4E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六、</w:t>
      </w:r>
      <w:r>
        <w:rPr>
          <w:rStyle w:val="10"/>
          <w:rFonts w:ascii="宋体" w:hAnsi="宋体" w:cs="Segoe UI"/>
          <w:color w:val="C55A11" w:themeColor="accent2" w:themeShade="BF"/>
          <w:sz w:val="24"/>
          <w:szCs w:val="24"/>
        </w:rPr>
        <w:t>教育与培训</w:t>
      </w: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：打造TPM能力梯队</w:t>
      </w:r>
    </w:p>
    <w:p w14:paraId="0826374F">
      <w:pPr>
        <w:widowControl/>
        <w:tabs>
          <w:tab w:val="left" w:pos="720"/>
          <w:tab w:val="left" w:pos="1440"/>
        </w:tabs>
        <w:spacing w:line="480" w:lineRule="exact"/>
        <w:rPr>
          <w:rFonts w:hint="eastAsia"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TPM推进人员的技能培养</w:t>
      </w:r>
    </w:p>
    <w:p w14:paraId="1B06E7FF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员工操作与维护能力的提升</w:t>
      </w:r>
    </w:p>
    <w:p w14:paraId="72CC6170">
      <w:pPr>
        <w:widowControl/>
        <w:tabs>
          <w:tab w:val="left" w:pos="720"/>
        </w:tabs>
        <w:spacing w:line="480" w:lineRule="exact"/>
        <w:rPr>
          <w:rStyle w:val="10"/>
          <w:rFonts w:hint="eastAsia" w:ascii="宋体" w:hAnsi="宋体" w:cs="Segoe UI"/>
          <w:b w:val="0"/>
          <w:bCs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cs="Segoe UI"/>
          <w:color w:val="auto"/>
          <w:sz w:val="24"/>
          <w:szCs w:val="24"/>
          <w:lang w:val="en-US" w:eastAsia="zh-CN"/>
        </w:rPr>
        <w:t>工具：</w:t>
      </w:r>
      <w:r>
        <w:rPr>
          <w:rStyle w:val="10"/>
          <w:rFonts w:hint="eastAsia" w:ascii="宋体" w:hAnsi="宋体" w:cs="Segoe UI"/>
          <w:b w:val="0"/>
          <w:bCs/>
          <w:color w:val="auto"/>
          <w:sz w:val="24"/>
          <w:szCs w:val="24"/>
          <w:lang w:val="en-US" w:eastAsia="zh-CN"/>
        </w:rPr>
        <w:t>员工技能矩阵表</w:t>
      </w:r>
    </w:p>
    <w:p w14:paraId="559F9E93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七、</w:t>
      </w:r>
      <w:r>
        <w:rPr>
          <w:rStyle w:val="10"/>
          <w:rFonts w:ascii="宋体" w:hAnsi="宋体" w:cs="Segoe UI"/>
          <w:color w:val="C55A11" w:themeColor="accent2" w:themeShade="BF"/>
          <w:sz w:val="24"/>
          <w:szCs w:val="24"/>
        </w:rPr>
        <w:t>安全与环境管理</w:t>
      </w: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：TPM的底线保障</w:t>
      </w:r>
    </w:p>
    <w:p w14:paraId="30262A2F">
      <w:pPr>
        <w:widowControl/>
        <w:tabs>
          <w:tab w:val="left" w:pos="720"/>
        </w:tabs>
        <w:spacing w:line="480" w:lineRule="exact"/>
        <w:rPr>
          <w:rStyle w:val="10"/>
          <w:rFonts w:cs="Segoe UI"/>
          <w:color w:val="C55A11" w:themeColor="accent2" w:themeShade="BF"/>
        </w:rPr>
      </w:pP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八、</w:t>
      </w:r>
      <w:r>
        <w:rPr>
          <w:rStyle w:val="10"/>
          <w:rFonts w:ascii="宋体" w:hAnsi="宋体" w:cs="Segoe UI"/>
          <w:color w:val="C55A11" w:themeColor="accent2" w:themeShade="BF"/>
          <w:sz w:val="24"/>
          <w:szCs w:val="24"/>
        </w:rPr>
        <w:t>间接部门效率化</w:t>
      </w:r>
      <w:r>
        <w:rPr>
          <w:rStyle w:val="10"/>
          <w:rFonts w:hint="eastAsia" w:ascii="宋体" w:hAnsi="宋体" w:cs="Segoe UI"/>
          <w:color w:val="C55A11" w:themeColor="accent2" w:themeShade="BF"/>
          <w:sz w:val="24"/>
          <w:szCs w:val="24"/>
        </w:rPr>
        <w:t>：TPM的协同支撑</w:t>
      </w:r>
    </w:p>
    <w:p w14:paraId="0D7B2C27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Segoe UI"/>
          <w:b w:val="0"/>
          <w:bCs w:val="0"/>
          <w:color w:val="auto"/>
          <w:sz w:val="24"/>
          <w:szCs w:val="24"/>
        </w:rPr>
        <w:t>1. 跨部门协作流程优化</w:t>
      </w:r>
    </w:p>
    <w:p w14:paraId="4AE1AF40">
      <w:pPr>
        <w:widowControl/>
        <w:tabs>
          <w:tab w:val="left" w:pos="720"/>
          <w:tab w:val="left" w:pos="1440"/>
        </w:tabs>
        <w:spacing w:line="480" w:lineRule="exact"/>
        <w:rPr>
          <w:rFonts w:ascii="宋体" w:hAnsi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Segoe UI"/>
          <w:b w:val="0"/>
          <w:bCs w:val="0"/>
          <w:color w:val="auto"/>
          <w:sz w:val="24"/>
          <w:szCs w:val="24"/>
        </w:rPr>
        <w:t>2. 间接作业损失分析</w:t>
      </w:r>
    </w:p>
    <w:p w14:paraId="45E416EE">
      <w:pPr>
        <w:widowControl/>
        <w:spacing w:line="480" w:lineRule="exact"/>
        <w:rPr>
          <w:rFonts w:hint="eastAsia" w:ascii="宋体" w:hAnsi="宋体" w:cs="Segoe UI"/>
          <w:color w:val="333333"/>
          <w:sz w:val="24"/>
          <w:szCs w:val="24"/>
        </w:rPr>
      </w:pPr>
    </w:p>
    <w:p w14:paraId="7716DD67">
      <w:pPr>
        <w:widowControl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第三</w:t>
      </w:r>
      <w:r>
        <w:rPr>
          <w:rFonts w:hint="eastAsia" w:ascii="宋体" w:hAnsi="宋体"/>
          <w:b/>
          <w:color w:val="1F4E79"/>
          <w:sz w:val="24"/>
          <w:szCs w:val="24"/>
        </w:rPr>
        <w:t>讲</w:t>
      </w:r>
      <w:r>
        <w:rPr>
          <w:rFonts w:ascii="宋体" w:hAnsi="宋体"/>
          <w:b/>
          <w:color w:val="1F4E79"/>
          <w:sz w:val="24"/>
          <w:szCs w:val="24"/>
        </w:rPr>
        <w:t>：</w:t>
      </w:r>
      <w:r>
        <w:rPr>
          <w:rFonts w:hint="eastAsia" w:ascii="宋体" w:hAnsi="宋体"/>
          <w:b/>
          <w:color w:val="1F4E79"/>
          <w:sz w:val="24"/>
          <w:szCs w:val="24"/>
        </w:rPr>
        <w:t>TPM核心工具——设备综合效率（OEE）与生产损失分析</w:t>
      </w:r>
    </w:p>
    <w:p w14:paraId="6E9D8603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一、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OEE的定义与计算</w:t>
      </w:r>
    </w:p>
    <w:p w14:paraId="48F31CFB">
      <w:pPr>
        <w:widowControl/>
        <w:spacing w:line="480" w:lineRule="exact"/>
        <w:rPr>
          <w:rFonts w:ascii="宋体" w:hAnsi="宋体" w:cs="Segoe UI"/>
          <w:b/>
          <w:bCs/>
          <w:color w:val="auto"/>
          <w:sz w:val="24"/>
          <w:szCs w:val="24"/>
        </w:rPr>
      </w:pPr>
      <w:r>
        <w:rPr>
          <w:rFonts w:hint="eastAsia" w:ascii="宋体" w:hAnsi="宋体" w:cs="Segoe UI"/>
          <w:b/>
          <w:bCs/>
          <w:color w:val="auto"/>
          <w:sz w:val="24"/>
          <w:szCs w:val="24"/>
        </w:rPr>
        <w:t xml:space="preserve">1. </w:t>
      </w:r>
      <w:r>
        <w:rPr>
          <w:rFonts w:ascii="宋体" w:hAnsi="宋体" w:cs="Segoe UI"/>
          <w:b/>
          <w:bCs/>
          <w:color w:val="auto"/>
          <w:sz w:val="24"/>
          <w:szCs w:val="24"/>
        </w:rPr>
        <w:t>三大核心指标</w:t>
      </w:r>
    </w:p>
    <w:p w14:paraId="033C298C">
      <w:pPr>
        <w:widowControl/>
        <w:spacing w:line="480" w:lineRule="exact"/>
        <w:rPr>
          <w:rFonts w:ascii="宋体" w:hAnsi="宋体" w:cs="Segoe UI"/>
          <w:color w:val="auto"/>
          <w:sz w:val="24"/>
          <w:szCs w:val="24"/>
        </w:rPr>
      </w:pPr>
      <w:r>
        <w:rPr>
          <w:rFonts w:hint="eastAsia" w:ascii="宋体" w:hAnsi="宋体" w:cs="Segoe UI"/>
          <w:color w:val="auto"/>
          <w:sz w:val="24"/>
          <w:szCs w:val="24"/>
          <w:lang w:val="en-US" w:eastAsia="zh-CN"/>
        </w:rPr>
        <w:t>1）</w:t>
      </w:r>
      <w:r>
        <w:rPr>
          <w:rFonts w:ascii="宋体" w:hAnsi="宋体" w:cs="Segoe UI"/>
          <w:color w:val="auto"/>
          <w:sz w:val="24"/>
          <w:szCs w:val="24"/>
        </w:rPr>
        <w:t>时间开动率</w:t>
      </w:r>
    </w:p>
    <w:p w14:paraId="69E7FB76">
      <w:pPr>
        <w:widowControl/>
        <w:spacing w:line="480" w:lineRule="exact"/>
        <w:rPr>
          <w:rFonts w:ascii="宋体" w:hAnsi="宋体" w:cs="Segoe UI"/>
          <w:color w:val="auto"/>
          <w:sz w:val="24"/>
          <w:szCs w:val="24"/>
        </w:rPr>
      </w:pPr>
      <w:r>
        <w:rPr>
          <w:rFonts w:hint="eastAsia" w:ascii="宋体" w:hAnsi="宋体" w:cs="Segoe UI"/>
          <w:color w:val="auto"/>
          <w:sz w:val="24"/>
          <w:szCs w:val="24"/>
          <w:lang w:val="en-US" w:eastAsia="zh-CN"/>
        </w:rPr>
        <w:t>2）</w:t>
      </w:r>
      <w:r>
        <w:rPr>
          <w:rFonts w:ascii="宋体" w:hAnsi="宋体" w:cs="Segoe UI"/>
          <w:color w:val="auto"/>
          <w:sz w:val="24"/>
          <w:szCs w:val="24"/>
        </w:rPr>
        <w:t>性能开动率</w:t>
      </w:r>
    </w:p>
    <w:p w14:paraId="1555B85E">
      <w:pPr>
        <w:widowControl/>
        <w:spacing w:line="480" w:lineRule="exact"/>
        <w:rPr>
          <w:rFonts w:ascii="宋体" w:hAnsi="宋体" w:cs="Segoe UI"/>
          <w:color w:val="auto"/>
          <w:sz w:val="24"/>
          <w:szCs w:val="24"/>
        </w:rPr>
      </w:pPr>
      <w:r>
        <w:rPr>
          <w:rFonts w:hint="eastAsia" w:ascii="宋体" w:hAnsi="宋体" w:cs="Segoe UI"/>
          <w:color w:val="auto"/>
          <w:sz w:val="24"/>
          <w:szCs w:val="24"/>
          <w:lang w:val="en-US" w:eastAsia="zh-CN"/>
        </w:rPr>
        <w:t>3）</w:t>
      </w:r>
      <w:r>
        <w:rPr>
          <w:rFonts w:ascii="宋体" w:hAnsi="宋体" w:cs="Segoe UI"/>
          <w:color w:val="auto"/>
          <w:sz w:val="24"/>
          <w:szCs w:val="24"/>
        </w:rPr>
        <w:t>合格品率</w:t>
      </w:r>
    </w:p>
    <w:p w14:paraId="08531096">
      <w:pPr>
        <w:widowControl/>
        <w:spacing w:line="480" w:lineRule="exact"/>
        <w:rPr>
          <w:rFonts w:ascii="宋体" w:hAnsi="宋体" w:cs="Segoe UI"/>
          <w:color w:val="auto"/>
          <w:sz w:val="24"/>
          <w:szCs w:val="24"/>
        </w:rPr>
      </w:pPr>
      <w:r>
        <w:rPr>
          <w:rFonts w:hint="eastAsia" w:ascii="宋体" w:hAnsi="宋体" w:cs="Segoe UI"/>
          <w:color w:val="auto"/>
          <w:sz w:val="24"/>
          <w:szCs w:val="24"/>
        </w:rPr>
        <w:t xml:space="preserve">2. </w:t>
      </w:r>
      <w:r>
        <w:rPr>
          <w:rFonts w:ascii="宋体" w:hAnsi="宋体" w:cs="Segoe UI"/>
          <w:color w:val="auto"/>
          <w:sz w:val="24"/>
          <w:szCs w:val="24"/>
        </w:rPr>
        <w:t>OEE的计算公式</w:t>
      </w:r>
    </w:p>
    <w:p w14:paraId="04900894">
      <w:pPr>
        <w:widowControl/>
        <w:spacing w:line="480" w:lineRule="exact"/>
        <w:rPr>
          <w:rFonts w:hint="eastAsia" w:ascii="宋体" w:hAnsi="宋体" w:cs="Segoe UI"/>
          <w:color w:val="auto"/>
          <w:sz w:val="24"/>
          <w:szCs w:val="24"/>
          <w:highlight w:val="none"/>
          <w:lang w:val="en-US" w:eastAsia="zh-CN"/>
        </w:rPr>
      </w:pPr>
      <w:r>
        <w:rPr>
          <w:rFonts w:ascii="宋体" w:hAnsi="宋体" w:cs="Segoe UI"/>
          <w:b/>
          <w:bCs/>
          <w:color w:val="auto"/>
          <w:sz w:val="24"/>
          <w:szCs w:val="24"/>
          <w:highlight w:val="none"/>
        </w:rPr>
        <w:t>案例</w:t>
      </w:r>
      <w:r>
        <w:rPr>
          <w:rFonts w:hint="eastAsia" w:ascii="宋体" w:hAnsi="宋体" w:cs="Segoe UI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cs="Segoe UI"/>
          <w:color w:val="auto"/>
          <w:sz w:val="24"/>
          <w:szCs w:val="24"/>
          <w:highlight w:val="none"/>
          <w:lang w:eastAsia="zh-CN"/>
        </w:rPr>
        <w:t>注塑机</w:t>
      </w:r>
      <w:r>
        <w:rPr>
          <w:rFonts w:hint="eastAsia" w:ascii="宋体" w:hAnsi="宋体" w:cs="Segoe UI"/>
          <w:color w:val="auto"/>
          <w:sz w:val="24"/>
          <w:szCs w:val="24"/>
          <w:highlight w:val="none"/>
          <w:lang w:val="en-US" w:eastAsia="zh-CN"/>
        </w:rPr>
        <w:t>OEE计算</w:t>
      </w:r>
    </w:p>
    <w:p w14:paraId="1FF08B1A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二、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生产损失的识别与分析</w:t>
      </w:r>
    </w:p>
    <w:p w14:paraId="27240C2A">
      <w:pPr>
        <w:widowControl/>
        <w:spacing w:line="480" w:lineRule="exact"/>
        <w:rPr>
          <w:rFonts w:ascii="宋体" w:hAnsi="宋体" w:cs="Segoe UI"/>
          <w:b/>
          <w:bCs/>
          <w:sz w:val="24"/>
          <w:szCs w:val="24"/>
        </w:rPr>
      </w:pPr>
      <w:r>
        <w:rPr>
          <w:rFonts w:hint="eastAsia" w:ascii="宋体" w:hAnsi="宋体" w:cs="Segoe UI"/>
          <w:b/>
          <w:bCs/>
          <w:sz w:val="24"/>
          <w:szCs w:val="24"/>
        </w:rPr>
        <w:t xml:space="preserve">1. </w:t>
      </w:r>
      <w:r>
        <w:rPr>
          <w:rFonts w:ascii="宋体" w:hAnsi="宋体" w:cs="Segoe UI"/>
          <w:b/>
          <w:bCs/>
          <w:sz w:val="24"/>
          <w:szCs w:val="24"/>
        </w:rPr>
        <w:t>六大损失类型</w:t>
      </w:r>
    </w:p>
    <w:p w14:paraId="4DB3AF6C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1）故障损失（设备停机）</w:t>
      </w:r>
    </w:p>
    <w:p w14:paraId="335DC49B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2）换模/调整损失（切换产品时间）</w:t>
      </w:r>
    </w:p>
    <w:p w14:paraId="57AE8937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3）空转/短暂停机损失（设备未生产）</w:t>
      </w:r>
    </w:p>
    <w:p w14:paraId="521967FE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4）速度损失（实际速度低于理论速度）</w:t>
      </w:r>
    </w:p>
    <w:p w14:paraId="7B9E9706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5）品质损失（不良品返工/报废）</w:t>
      </w:r>
    </w:p>
    <w:p w14:paraId="44B78F2E">
      <w:pPr>
        <w:widowControl/>
        <w:spacing w:line="480" w:lineRule="exact"/>
        <w:rPr>
          <w:rFonts w:hint="eastAsia"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6）启动损失（开机初期不稳定）</w:t>
      </w:r>
    </w:p>
    <w:p w14:paraId="68BEDF1E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损失数据的收集与分析</w:t>
      </w:r>
    </w:p>
    <w:p w14:paraId="315AC04A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三、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OEE提升策略</w:t>
      </w:r>
    </w:p>
    <w:p w14:paraId="52FD4478">
      <w:pPr>
        <w:widowControl/>
        <w:spacing w:line="480" w:lineRule="exact"/>
        <w:rPr>
          <w:rFonts w:ascii="宋体" w:hAnsi="宋体" w:cs="Segoe UI"/>
          <w:color w:val="auto"/>
          <w:sz w:val="24"/>
          <w:szCs w:val="24"/>
          <w:highlight w:val="none"/>
        </w:rPr>
      </w:pPr>
      <w:r>
        <w:rPr>
          <w:rFonts w:hint="eastAsia" w:ascii="宋体" w:hAnsi="宋体" w:cs="Segoe UI"/>
          <w:color w:val="auto"/>
          <w:sz w:val="24"/>
          <w:szCs w:val="24"/>
          <w:highlight w:val="none"/>
          <w:lang w:eastAsia="zh-CN"/>
        </w:rPr>
        <w:t>——</w:t>
      </w:r>
      <w:r>
        <w:rPr>
          <w:rFonts w:ascii="宋体" w:hAnsi="宋体" w:cs="Segoe UI"/>
          <w:color w:val="auto"/>
          <w:sz w:val="24"/>
          <w:szCs w:val="24"/>
          <w:highlight w:val="none"/>
        </w:rPr>
        <w:t>通过TPM活动减少生产损失</w:t>
      </w:r>
    </w:p>
    <w:p w14:paraId="194B7B63">
      <w:pPr>
        <w:widowControl/>
        <w:numPr>
          <w:ilvl w:val="0"/>
          <w:numId w:val="0"/>
        </w:numPr>
        <w:spacing w:line="480" w:lineRule="exact"/>
        <w:rPr>
          <w:rFonts w:hint="eastAsia" w:ascii="宋体" w:hAnsi="宋体" w:cs="Segoe UI"/>
          <w:b/>
          <w:bCs/>
          <w:color w:val="333333"/>
          <w:sz w:val="24"/>
          <w:szCs w:val="24"/>
          <w:lang w:eastAsia="zh-CN"/>
        </w:rPr>
      </w:pPr>
      <w:r>
        <w:rPr>
          <w:rFonts w:hint="eastAsia" w:ascii="宋体" w:hAnsi="宋体" w:cs="Segoe UI"/>
          <w:b/>
          <w:bCs/>
          <w:color w:val="333333"/>
          <w:sz w:val="24"/>
          <w:szCs w:val="24"/>
          <w:lang w:val="en-US" w:eastAsia="zh-CN"/>
        </w:rPr>
        <w:t>1.</w:t>
      </w:r>
      <w:r>
        <w:rPr>
          <w:rFonts w:hint="eastAsia" w:ascii="宋体" w:hAnsi="宋体" w:cs="Segoe UI"/>
          <w:b/>
          <w:bCs/>
          <w:color w:val="333333"/>
          <w:sz w:val="24"/>
          <w:szCs w:val="24"/>
          <w:lang w:eastAsia="zh-CN"/>
        </w:rPr>
        <w:t xml:space="preserve"> 针对“设备停机损失”的改善措施</w:t>
      </w:r>
    </w:p>
    <w:p w14:paraId="0E15BA41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1）强化自主维护</w:t>
      </w:r>
    </w:p>
    <w:p w14:paraId="2C36FDCB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2）优化计划维护</w:t>
      </w:r>
    </w:p>
    <w:p w14:paraId="37C4857E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3）推进个别改善</w:t>
      </w:r>
    </w:p>
    <w:p w14:paraId="3C78420C">
      <w:pPr>
        <w:widowControl/>
        <w:spacing w:line="480" w:lineRule="exact"/>
        <w:rPr>
          <w:rFonts w:hint="eastAsia" w:ascii="宋体" w:hAnsi="宋体" w:cs="Segoe UI"/>
          <w:b/>
          <w:bCs/>
          <w:color w:val="333333"/>
          <w:sz w:val="24"/>
          <w:szCs w:val="24"/>
          <w:lang w:eastAsia="zh-CN"/>
        </w:rPr>
      </w:pPr>
      <w:r>
        <w:rPr>
          <w:rFonts w:hint="eastAsia" w:ascii="宋体" w:hAnsi="宋体" w:cs="Segoe UI"/>
          <w:b/>
          <w:bCs/>
          <w:color w:val="333333"/>
          <w:sz w:val="24"/>
          <w:szCs w:val="24"/>
          <w:lang w:val="en-US" w:eastAsia="zh-CN"/>
        </w:rPr>
        <w:t xml:space="preserve">2. </w:t>
      </w:r>
      <w:r>
        <w:rPr>
          <w:rFonts w:hint="eastAsia" w:ascii="宋体" w:hAnsi="宋体" w:cs="Segoe UI"/>
          <w:b/>
          <w:bCs/>
          <w:color w:val="333333"/>
          <w:sz w:val="24"/>
          <w:szCs w:val="24"/>
          <w:lang w:eastAsia="zh-CN"/>
        </w:rPr>
        <w:t>针对“质量损失”的改善措施</w:t>
      </w:r>
    </w:p>
    <w:p w14:paraId="4239C081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1）品质维护联动</w:t>
      </w:r>
    </w:p>
    <w:p w14:paraId="537A3B6B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2）数据追溯</w:t>
      </w:r>
    </w:p>
    <w:p w14:paraId="7B67B013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3）员工培训</w:t>
      </w:r>
    </w:p>
    <w:p w14:paraId="4F1ECD01">
      <w:pPr>
        <w:widowControl/>
        <w:spacing w:line="480" w:lineRule="exact"/>
        <w:rPr>
          <w:rFonts w:hint="eastAsia" w:ascii="宋体" w:hAnsi="宋体" w:cs="Segoe UI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b/>
          <w:bCs/>
          <w:color w:val="333333"/>
          <w:sz w:val="24"/>
          <w:szCs w:val="24"/>
          <w:lang w:val="en-US" w:eastAsia="zh-CN"/>
        </w:rPr>
        <w:t>3. 针对“效率损失”的改善措施</w:t>
      </w:r>
    </w:p>
    <w:p w14:paraId="04B21B74">
      <w:pPr>
        <w:widowControl/>
        <w:spacing w:line="480" w:lineRule="exact"/>
        <w:rPr>
          <w:rFonts w:hint="default" w:ascii="宋体" w:hAnsi="宋体" w:cs="Segoe UI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color w:val="333333"/>
          <w:sz w:val="24"/>
          <w:szCs w:val="24"/>
          <w:lang w:val="en-US" w:eastAsia="zh-CN"/>
        </w:rPr>
        <w:t>1）减少换模损失</w:t>
      </w:r>
    </w:p>
    <w:p w14:paraId="30D54BC3">
      <w:pPr>
        <w:widowControl/>
        <w:spacing w:line="480" w:lineRule="exact"/>
        <w:rPr>
          <w:rFonts w:hint="eastAsia" w:ascii="宋体" w:hAnsi="宋体" w:eastAsia="宋体" w:cs="Segoe UI"/>
          <w:b w:val="0"/>
          <w:bCs w:val="0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b w:val="0"/>
          <w:bCs w:val="0"/>
          <w:color w:val="333333"/>
          <w:sz w:val="24"/>
          <w:szCs w:val="24"/>
          <w:lang w:val="en-US" w:eastAsia="zh-CN"/>
        </w:rPr>
        <w:t>2）消除速度损失</w:t>
      </w:r>
    </w:p>
    <w:p w14:paraId="7FE4EDF3">
      <w:pPr>
        <w:widowControl/>
        <w:spacing w:line="480" w:lineRule="exact"/>
        <w:rPr>
          <w:rFonts w:hint="eastAsia" w:ascii="宋体" w:hAnsi="宋体" w:eastAsia="宋体" w:cs="Segoe UI"/>
          <w:b w:val="0"/>
          <w:bCs w:val="0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Segoe UI"/>
          <w:b w:val="0"/>
          <w:bCs w:val="0"/>
          <w:color w:val="333333"/>
          <w:sz w:val="24"/>
          <w:szCs w:val="24"/>
          <w:lang w:val="en-US" w:eastAsia="zh-CN"/>
        </w:rPr>
        <w:t>3）优化启动流程</w:t>
      </w:r>
    </w:p>
    <w:p w14:paraId="24D01530">
      <w:pPr>
        <w:widowControl/>
        <w:spacing w:line="480" w:lineRule="exact"/>
        <w:rPr>
          <w:rFonts w:hint="eastAsia" w:ascii="宋体" w:hAnsi="宋体" w:cs="Segoe UI"/>
          <w:b/>
          <w:bCs/>
          <w:color w:val="333333"/>
          <w:sz w:val="24"/>
          <w:szCs w:val="24"/>
          <w:highlight w:val="yellow"/>
          <w:lang w:val="en-US" w:eastAsia="zh-CN"/>
        </w:rPr>
      </w:pPr>
      <w:r>
        <w:rPr>
          <w:rFonts w:ascii="宋体" w:hAnsi="宋体" w:cs="Segoe UI"/>
          <w:b/>
          <w:bCs/>
          <w:color w:val="333333"/>
          <w:sz w:val="24"/>
          <w:szCs w:val="24"/>
        </w:rPr>
        <w:t>实战案例分享</w:t>
      </w:r>
      <w:r>
        <w:rPr>
          <w:rFonts w:hint="eastAsia" w:ascii="宋体" w:hAnsi="宋体" w:cs="Segoe UI"/>
          <w:b/>
          <w:bCs/>
          <w:color w:val="333333"/>
          <w:sz w:val="24"/>
          <w:szCs w:val="24"/>
        </w:rPr>
        <w:t>：</w:t>
      </w:r>
      <w:r>
        <w:rPr>
          <w:rFonts w:hint="eastAsia" w:ascii="宋体" w:hAnsi="宋体" w:cs="Segoe UI"/>
          <w:b w:val="0"/>
          <w:bCs w:val="0"/>
          <w:color w:val="333333"/>
          <w:sz w:val="24"/>
          <w:szCs w:val="24"/>
          <w:highlight w:val="none"/>
          <w:lang w:eastAsia="zh-CN"/>
        </w:rPr>
        <w:t>注塑设备</w:t>
      </w:r>
      <w:r>
        <w:rPr>
          <w:rFonts w:hint="eastAsia" w:ascii="宋体" w:hAnsi="宋体" w:cs="Segoe UI"/>
          <w:b w:val="0"/>
          <w:bCs w:val="0"/>
          <w:color w:val="333333"/>
          <w:sz w:val="24"/>
          <w:szCs w:val="24"/>
          <w:highlight w:val="none"/>
          <w:lang w:val="en-US" w:eastAsia="zh-CN"/>
        </w:rPr>
        <w:t>OEE效率提升分析</w:t>
      </w:r>
    </w:p>
    <w:p w14:paraId="776FFB5D">
      <w:pPr>
        <w:widowControl/>
        <w:spacing w:line="480" w:lineRule="exact"/>
        <w:rPr>
          <w:rFonts w:hint="default" w:ascii="宋体" w:hAnsi="宋体" w:cs="Segoe UI"/>
          <w:b/>
          <w:bCs/>
          <w:color w:val="333333"/>
          <w:sz w:val="24"/>
          <w:szCs w:val="24"/>
          <w:highlight w:val="yellow"/>
          <w:lang w:val="en-US" w:eastAsia="zh-CN"/>
        </w:rPr>
      </w:pPr>
    </w:p>
    <w:p w14:paraId="6DC6BCF5">
      <w:pPr>
        <w:widowControl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第四</w:t>
      </w:r>
      <w:r>
        <w:rPr>
          <w:rFonts w:hint="eastAsia" w:ascii="宋体" w:hAnsi="宋体"/>
          <w:b/>
          <w:color w:val="1F4E79"/>
          <w:sz w:val="24"/>
          <w:szCs w:val="24"/>
        </w:rPr>
        <w:t>讲</w:t>
      </w:r>
      <w:r>
        <w:rPr>
          <w:rFonts w:ascii="宋体" w:hAnsi="宋体"/>
          <w:b/>
          <w:color w:val="1F4E79"/>
          <w:sz w:val="24"/>
          <w:szCs w:val="24"/>
        </w:rPr>
        <w:t>：</w:t>
      </w:r>
      <w:r>
        <w:rPr>
          <w:rFonts w:hint="eastAsia" w:ascii="宋体" w:hAnsi="宋体"/>
          <w:b/>
          <w:color w:val="1F4E79"/>
          <w:sz w:val="24"/>
          <w:szCs w:val="24"/>
        </w:rPr>
        <w:t>TPM落地路径——实施步骤与推进方法</w:t>
      </w:r>
    </w:p>
    <w:p w14:paraId="2B240642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一、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TPM实施的准备阶段</w:t>
      </w:r>
    </w:p>
    <w:p w14:paraId="63C5EF1C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组建TPM推进组织</w:t>
      </w:r>
    </w:p>
    <w:p w14:paraId="1D7462E2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制定TPM实施计划</w:t>
      </w:r>
    </w:p>
    <w:p w14:paraId="2108C949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二、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TPM实施的启动阶段</w:t>
      </w:r>
    </w:p>
    <w:p w14:paraId="20A563A3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宣传与培训</w:t>
      </w:r>
    </w:p>
    <w:p w14:paraId="45A14995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试点区域的选定与实施</w:t>
      </w:r>
    </w:p>
    <w:p w14:paraId="0586CF0C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三、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TPM实施的全面推广阶段</w:t>
      </w:r>
    </w:p>
    <w:p w14:paraId="26A308FD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逐步扩大实施范围</w:t>
      </w:r>
    </w:p>
    <w:p w14:paraId="4EE7A3A4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持续改善与优化</w:t>
      </w:r>
    </w:p>
    <w:p w14:paraId="36A906FC">
      <w:pPr>
        <w:widowControl/>
        <w:spacing w:line="480" w:lineRule="exact"/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</w:pPr>
      <w:r>
        <w:rPr>
          <w:rFonts w:hint="eastAsia" w:ascii="宋体" w:hAnsi="宋体" w:cs="Segoe UI"/>
          <w:b/>
          <w:bCs/>
          <w:color w:val="C55A11" w:themeColor="accent2" w:themeShade="BF"/>
          <w:sz w:val="24"/>
          <w:szCs w:val="24"/>
        </w:rPr>
        <w:t>四、</w:t>
      </w:r>
      <w:r>
        <w:rPr>
          <w:rFonts w:ascii="宋体" w:hAnsi="宋体" w:cs="Segoe UI"/>
          <w:b/>
          <w:bCs/>
          <w:color w:val="C55A11" w:themeColor="accent2" w:themeShade="BF"/>
          <w:sz w:val="24"/>
          <w:szCs w:val="24"/>
        </w:rPr>
        <w:t>TPM实施的评估与改进</w:t>
      </w:r>
    </w:p>
    <w:p w14:paraId="11717F20">
      <w:pPr>
        <w:widowControl/>
        <w:spacing w:line="480" w:lineRule="exact"/>
        <w:rPr>
          <w:rFonts w:hint="eastAsia" w:ascii="宋体" w:hAnsi="宋体" w:cs="Segoe UI"/>
          <w:b/>
          <w:bCs/>
          <w:sz w:val="24"/>
          <w:szCs w:val="24"/>
          <w:highlight w:val="none"/>
        </w:rPr>
      </w:pPr>
      <w:r>
        <w:rPr>
          <w:rFonts w:ascii="宋体" w:hAnsi="宋体" w:cs="Segoe UI"/>
          <w:b/>
          <w:bCs/>
          <w:sz w:val="24"/>
          <w:szCs w:val="24"/>
          <w:highlight w:val="none"/>
        </w:rPr>
        <w:t>成功案例</w:t>
      </w:r>
      <w:r>
        <w:rPr>
          <w:rFonts w:hint="eastAsia" w:ascii="宋体" w:hAnsi="宋体" w:cs="Segoe UI"/>
          <w:b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cs="Segoe UI"/>
          <w:sz w:val="24"/>
          <w:szCs w:val="24"/>
          <w:highlight w:val="none"/>
          <w:lang w:eastAsia="zh-CN"/>
        </w:rPr>
        <w:t>连续型产品设备自主维护案例</w:t>
      </w:r>
    </w:p>
    <w:p w14:paraId="2042CF59">
      <w:pPr>
        <w:widowControl/>
        <w:spacing w:line="480" w:lineRule="exact"/>
        <w:rPr>
          <w:rFonts w:hint="eastAsia" w:ascii="宋体" w:hAnsi="宋体" w:eastAsia="宋体" w:cs="Segoe UI"/>
          <w:b/>
          <w:bCs/>
          <w:sz w:val="24"/>
          <w:szCs w:val="24"/>
          <w:lang w:eastAsia="zh-CN"/>
        </w:rPr>
      </w:pPr>
      <w:r>
        <w:rPr>
          <w:rFonts w:ascii="宋体" w:hAnsi="宋体" w:cs="Segoe UI"/>
          <w:b/>
          <w:bCs/>
          <w:sz w:val="24"/>
          <w:szCs w:val="24"/>
        </w:rPr>
        <w:t>操作演练</w:t>
      </w:r>
      <w:r>
        <w:rPr>
          <w:rFonts w:hint="eastAsia" w:ascii="宋体" w:hAnsi="宋体" w:cs="Segoe UI"/>
          <w:b/>
          <w:bCs/>
          <w:sz w:val="24"/>
          <w:szCs w:val="24"/>
          <w:lang w:eastAsia="zh-CN"/>
        </w:rPr>
        <w:t>：</w:t>
      </w:r>
    </w:p>
    <w:p w14:paraId="38C28FE1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1）</w:t>
      </w:r>
      <w:r>
        <w:rPr>
          <w:rFonts w:ascii="宋体" w:hAnsi="宋体" w:cs="Segoe UI"/>
          <w:sz w:val="24"/>
          <w:szCs w:val="24"/>
        </w:rPr>
        <w:t>设备点检与维护的实操演练</w:t>
      </w:r>
    </w:p>
    <w:p w14:paraId="4E1E0D5F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2）</w:t>
      </w:r>
      <w:r>
        <w:rPr>
          <w:rFonts w:ascii="宋体" w:hAnsi="宋体" w:cs="Segoe UI"/>
          <w:sz w:val="24"/>
          <w:szCs w:val="24"/>
        </w:rPr>
        <w:t>生产损失分析与改善方案制定</w:t>
      </w:r>
    </w:p>
    <w:p w14:paraId="282E232C">
      <w:pPr>
        <w:widowControl/>
        <w:spacing w:line="480" w:lineRule="exact"/>
        <w:rPr>
          <w:rFonts w:hint="eastAsia" w:ascii="宋体" w:hAnsi="宋体" w:cs="Segoe UI"/>
          <w:sz w:val="24"/>
          <w:szCs w:val="24"/>
        </w:rPr>
      </w:pPr>
    </w:p>
    <w:p w14:paraId="175E66B1">
      <w:pPr>
        <w:widowControl/>
        <w:spacing w:line="480" w:lineRule="exact"/>
        <w:rPr>
          <w:rFonts w:ascii="宋体" w:hAnsi="宋体" w:cs="Segoe UI"/>
          <w:b/>
          <w:bCs/>
          <w:sz w:val="24"/>
          <w:szCs w:val="24"/>
        </w:rPr>
      </w:pPr>
      <w:r>
        <w:rPr>
          <w:rFonts w:ascii="宋体" w:hAnsi="宋体" w:cs="Segoe UI"/>
          <w:b/>
          <w:bCs/>
          <w:sz w:val="24"/>
          <w:szCs w:val="24"/>
        </w:rPr>
        <w:t>课程总结与答疑</w:t>
      </w:r>
    </w:p>
    <w:p w14:paraId="2E75392E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1. </w:t>
      </w:r>
      <w:r>
        <w:rPr>
          <w:rFonts w:ascii="宋体" w:hAnsi="宋体" w:cs="Segoe UI"/>
          <w:sz w:val="24"/>
          <w:szCs w:val="24"/>
        </w:rPr>
        <w:t>课程内容回顾</w:t>
      </w:r>
    </w:p>
    <w:p w14:paraId="647A6BF2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1）</w:t>
      </w:r>
      <w:r>
        <w:rPr>
          <w:rFonts w:ascii="宋体" w:hAnsi="宋体" w:cs="Segoe UI"/>
          <w:sz w:val="24"/>
          <w:szCs w:val="24"/>
        </w:rPr>
        <w:t>TPM的核心知识点总结</w:t>
      </w:r>
    </w:p>
    <w:p w14:paraId="38DD8153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2）</w:t>
      </w:r>
      <w:r>
        <w:rPr>
          <w:rFonts w:ascii="宋体" w:hAnsi="宋体" w:cs="Segoe UI"/>
          <w:sz w:val="24"/>
          <w:szCs w:val="24"/>
        </w:rPr>
        <w:t>TPM实施的关键步骤</w:t>
      </w:r>
    </w:p>
    <w:p w14:paraId="2BB1FC3C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2. </w:t>
      </w:r>
      <w:r>
        <w:rPr>
          <w:rFonts w:ascii="宋体" w:hAnsi="宋体" w:cs="Segoe UI"/>
          <w:sz w:val="24"/>
          <w:szCs w:val="24"/>
        </w:rPr>
        <w:t>学员提问与答疑</w:t>
      </w:r>
    </w:p>
    <w:p w14:paraId="58883CEE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——</w:t>
      </w:r>
      <w:r>
        <w:rPr>
          <w:rFonts w:ascii="宋体" w:hAnsi="宋体" w:cs="Segoe UI"/>
          <w:sz w:val="24"/>
          <w:szCs w:val="24"/>
        </w:rPr>
        <w:t>针对学员在实际工作中的问题进行解答</w:t>
      </w:r>
    </w:p>
    <w:p w14:paraId="6EE01E46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 xml:space="preserve">3. </w:t>
      </w:r>
      <w:r>
        <w:rPr>
          <w:rFonts w:ascii="宋体" w:hAnsi="宋体" w:cs="Segoe UI"/>
          <w:sz w:val="24"/>
          <w:szCs w:val="24"/>
        </w:rPr>
        <w:t>后续行动计划</w:t>
      </w:r>
    </w:p>
    <w:p w14:paraId="624DE51E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1）</w:t>
      </w:r>
      <w:r>
        <w:rPr>
          <w:rFonts w:ascii="宋体" w:hAnsi="宋体" w:cs="Segoe UI"/>
          <w:sz w:val="24"/>
          <w:szCs w:val="24"/>
        </w:rPr>
        <w:t>制定TPM实施的初步计划</w:t>
      </w:r>
    </w:p>
    <w:p w14:paraId="04F268A7">
      <w:pPr>
        <w:widowControl/>
        <w:spacing w:line="480" w:lineRule="exact"/>
        <w:rPr>
          <w:rFonts w:ascii="宋体" w:hAnsi="宋体" w:cs="Segoe UI"/>
          <w:sz w:val="24"/>
          <w:szCs w:val="24"/>
        </w:rPr>
      </w:pPr>
      <w:r>
        <w:rPr>
          <w:rFonts w:hint="eastAsia" w:ascii="宋体" w:hAnsi="宋体" w:cs="Segoe UI"/>
          <w:sz w:val="24"/>
          <w:szCs w:val="24"/>
        </w:rPr>
        <w:t>2）</w:t>
      </w:r>
      <w:r>
        <w:rPr>
          <w:rFonts w:ascii="宋体" w:hAnsi="宋体" w:cs="Segoe UI"/>
          <w:sz w:val="24"/>
          <w:szCs w:val="24"/>
        </w:rPr>
        <w:t>提供TPM推进的资源与支持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B2"/>
    <w:rsid w:val="00017732"/>
    <w:rsid w:val="00022CF8"/>
    <w:rsid w:val="000C31A0"/>
    <w:rsid w:val="000E3AAC"/>
    <w:rsid w:val="000F6D31"/>
    <w:rsid w:val="001D4086"/>
    <w:rsid w:val="002230C9"/>
    <w:rsid w:val="00223DD3"/>
    <w:rsid w:val="002444F6"/>
    <w:rsid w:val="00254493"/>
    <w:rsid w:val="00291E58"/>
    <w:rsid w:val="00293333"/>
    <w:rsid w:val="002D62A5"/>
    <w:rsid w:val="003B36FC"/>
    <w:rsid w:val="00437A75"/>
    <w:rsid w:val="004D0583"/>
    <w:rsid w:val="005F7AFB"/>
    <w:rsid w:val="0076316F"/>
    <w:rsid w:val="007714F1"/>
    <w:rsid w:val="00780AE5"/>
    <w:rsid w:val="007E4FC1"/>
    <w:rsid w:val="00804656"/>
    <w:rsid w:val="008F1B4B"/>
    <w:rsid w:val="00903EFB"/>
    <w:rsid w:val="00923C40"/>
    <w:rsid w:val="00942681"/>
    <w:rsid w:val="009C047C"/>
    <w:rsid w:val="00A401B2"/>
    <w:rsid w:val="00AB7927"/>
    <w:rsid w:val="00B54DC1"/>
    <w:rsid w:val="00B62141"/>
    <w:rsid w:val="00BC288E"/>
    <w:rsid w:val="00C17BB3"/>
    <w:rsid w:val="00C51303"/>
    <w:rsid w:val="00C63EB7"/>
    <w:rsid w:val="00C7476E"/>
    <w:rsid w:val="00CA40D2"/>
    <w:rsid w:val="00CB539F"/>
    <w:rsid w:val="00CF247D"/>
    <w:rsid w:val="00D254C3"/>
    <w:rsid w:val="00D548A1"/>
    <w:rsid w:val="00E40A7A"/>
    <w:rsid w:val="00EA1494"/>
    <w:rsid w:val="00EB59CA"/>
    <w:rsid w:val="00F0276A"/>
    <w:rsid w:val="00F12779"/>
    <w:rsid w:val="00F270BB"/>
    <w:rsid w:val="00FC05B4"/>
    <w:rsid w:val="00FC3F8B"/>
    <w:rsid w:val="0CF84031"/>
    <w:rsid w:val="12555A81"/>
    <w:rsid w:val="1F2A6B76"/>
    <w:rsid w:val="316B21A3"/>
    <w:rsid w:val="4CA115F4"/>
    <w:rsid w:val="63695ED1"/>
    <w:rsid w:val="6A2F3BFD"/>
    <w:rsid w:val="75D05CCE"/>
    <w:rsid w:val="7D1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课程大纲"/>
    <w:basedOn w:val="1"/>
    <w:qFormat/>
    <w:uiPriority w:val="0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_Style 8"/>
    <w:basedOn w:val="1"/>
    <w:next w:val="15"/>
    <w:qFormat/>
    <w:uiPriority w:val="34"/>
    <w:pPr>
      <w:ind w:firstLine="420" w:firstLineChars="200"/>
    </w:p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2018</Words>
  <Characters>2156</Characters>
  <Lines>16</Lines>
  <Paragraphs>4</Paragraphs>
  <TotalTime>68</TotalTime>
  <ScaleCrop>false</ScaleCrop>
  <LinksUpToDate>false</LinksUpToDate>
  <CharactersWithSpaces>2199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2022-07-12T08:59:00Z</dcterms:created>
  <dc:creator>Administrator</dc:creator>
  <cp:lastModifiedBy>su</cp:lastModifiedBy>
  <dcterms:modified xsi:type="dcterms:W3CDTF">2025-08-28T03:52:57Z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85F5767F02DD4100AD510562531BC7C1_13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