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50FF5C">
      <w:pPr>
        <w:spacing w:line="480" w:lineRule="exact"/>
        <w:rPr>
          <w:rFonts w:hint="eastAsia" w:ascii="宋体" w:hAnsi="宋体" w:eastAsia="宋体"/>
          <w:bCs/>
          <w:kern w:val="0"/>
          <w:sz w:val="32"/>
          <w:szCs w:val="32"/>
        </w:rPr>
      </w:pPr>
      <w:r>
        <w:rPr>
          <w:rFonts w:hint="eastAsia" w:ascii="宋体" w:hAnsi="宋体" w:eastAsia="宋体"/>
          <w:bCs/>
          <w:kern w:val="0"/>
          <w:sz w:val="32"/>
          <w:szCs w:val="32"/>
        </w:rPr>
        <w:drawing>
          <wp:anchor distT="0" distB="0" distL="114300" distR="114300" simplePos="0" relativeHeight="251659264" behindDoc="0" locked="0" layoutInCell="1" allowOverlap="1">
            <wp:simplePos x="0" y="0"/>
            <wp:positionH relativeFrom="column">
              <wp:posOffset>4599305</wp:posOffset>
            </wp:positionH>
            <wp:positionV relativeFrom="paragraph">
              <wp:posOffset>1905</wp:posOffset>
            </wp:positionV>
            <wp:extent cx="1747520" cy="2324100"/>
            <wp:effectExtent l="0" t="0" r="5080" b="0"/>
            <wp:wrapSquare wrapText="bothSides"/>
            <wp:docPr id="654623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62306" name="图片 1"/>
                    <pic:cNvPicPr>
                      <a:picLocks noChangeAspect="1" noChangeArrowheads="1"/>
                    </pic:cNvPicPr>
                  </pic:nvPicPr>
                  <pic:blipFill>
                    <a:blip r:embed="rId4" cstate="print">
                      <a:extLst>
                        <a:ext uri="{28A0092B-C50C-407E-A947-70E740481C1C}">
                          <a14:useLocalDpi xmlns:a14="http://schemas.microsoft.com/office/drawing/2010/main" val="0"/>
                        </a:ext>
                      </a:extLst>
                    </a:blip>
                    <a:srcRect t="2929" b="8425"/>
                    <a:stretch>
                      <a:fillRect/>
                    </a:stretch>
                  </pic:blipFill>
                  <pic:spPr>
                    <a:xfrm>
                      <a:off x="0" y="0"/>
                      <a:ext cx="1747520" cy="2324100"/>
                    </a:xfrm>
                    <a:prstGeom prst="rect">
                      <a:avLst/>
                    </a:prstGeom>
                    <a:noFill/>
                    <a:ln>
                      <a:noFill/>
                    </a:ln>
                  </pic:spPr>
                </pic:pic>
              </a:graphicData>
            </a:graphic>
          </wp:anchor>
        </w:drawing>
      </w:r>
      <w:r>
        <w:rPr>
          <w:rFonts w:hint="eastAsia" w:ascii="宋体" w:hAnsi="宋体" w:eastAsia="宋体" w:cs="Helvetica"/>
          <w:b/>
          <w:bCs/>
          <w:color w:val="000000"/>
          <w:sz w:val="32"/>
          <w:szCs w:val="32"/>
          <w:shd w:val="clear" w:color="auto" w:fill="FFFFFF"/>
        </w:rPr>
        <w:t>霍洪亮老师  精益运营咨询专家</w:t>
      </w:r>
    </w:p>
    <w:p w14:paraId="64615086">
      <w:pPr>
        <w:spacing w:line="480" w:lineRule="exact"/>
        <w:rPr>
          <w:rFonts w:hint="eastAsia" w:ascii="宋体" w:hAnsi="宋体" w:eastAsia="宋体"/>
          <w:bCs/>
          <w:kern w:val="0"/>
          <w:sz w:val="24"/>
          <w:szCs w:val="24"/>
        </w:rPr>
      </w:pPr>
      <w:r>
        <w:rPr>
          <w:rFonts w:hint="eastAsia" w:ascii="宋体" w:hAnsi="宋体" w:eastAsia="宋体"/>
          <w:bCs/>
          <w:kern w:val="0"/>
          <w:sz w:val="24"/>
          <w:szCs w:val="24"/>
        </w:rPr>
        <w:t>20年+精益管理+10年精益咨询实战经验</w:t>
      </w:r>
    </w:p>
    <w:p w14:paraId="045B184C">
      <w:pPr>
        <w:spacing w:line="480" w:lineRule="exact"/>
        <w:rPr>
          <w:rFonts w:hint="eastAsia" w:ascii="宋体" w:hAnsi="宋体" w:eastAsia="宋体"/>
          <w:bCs/>
          <w:kern w:val="0"/>
          <w:sz w:val="24"/>
          <w:szCs w:val="24"/>
        </w:rPr>
      </w:pPr>
      <w:r>
        <w:rPr>
          <w:rFonts w:hint="eastAsia" w:ascii="宋体" w:hAnsi="宋体" w:eastAsia="宋体"/>
          <w:bCs/>
          <w:kern w:val="0"/>
          <w:sz w:val="24"/>
          <w:szCs w:val="24"/>
        </w:rPr>
        <w:t>可中英文授课</w:t>
      </w:r>
    </w:p>
    <w:p w14:paraId="35BFD980">
      <w:pPr>
        <w:spacing w:line="480" w:lineRule="exact"/>
        <w:rPr>
          <w:rFonts w:hint="eastAsia" w:ascii="宋体" w:hAnsi="宋体" w:eastAsia="宋体"/>
          <w:bCs/>
          <w:kern w:val="0"/>
          <w:sz w:val="24"/>
          <w:szCs w:val="24"/>
        </w:rPr>
      </w:pPr>
      <w:r>
        <w:rPr>
          <w:rFonts w:hint="eastAsia" w:ascii="宋体" w:hAnsi="宋体" w:eastAsia="宋体"/>
          <w:bCs/>
          <w:kern w:val="0"/>
          <w:sz w:val="24"/>
          <w:szCs w:val="24"/>
        </w:rPr>
        <w:t>6sigma黑带大师</w:t>
      </w:r>
    </w:p>
    <w:p w14:paraId="1C07DEB1">
      <w:pPr>
        <w:spacing w:line="480" w:lineRule="exact"/>
        <w:rPr>
          <w:rFonts w:hint="eastAsia" w:ascii="宋体" w:hAnsi="宋体" w:eastAsia="宋体"/>
          <w:bCs/>
          <w:kern w:val="0"/>
          <w:sz w:val="24"/>
          <w:szCs w:val="24"/>
        </w:rPr>
      </w:pPr>
      <w:r>
        <w:rPr>
          <w:rFonts w:hint="eastAsia" w:ascii="宋体" w:hAnsi="宋体" w:eastAsia="宋体"/>
          <w:b/>
          <w:kern w:val="0"/>
          <w:sz w:val="24"/>
          <w:szCs w:val="24"/>
        </w:rPr>
        <w:t>曾任：</w:t>
      </w:r>
      <w:r>
        <w:rPr>
          <w:rFonts w:hint="eastAsia" w:ascii="宋体" w:hAnsi="宋体" w:eastAsia="宋体"/>
          <w:bCs/>
          <w:kern w:val="0"/>
          <w:sz w:val="24"/>
          <w:szCs w:val="24"/>
        </w:rPr>
        <w:t>Essilor Luxottica</w:t>
      </w:r>
      <w:r>
        <w:rPr>
          <w:rFonts w:hint="eastAsia" w:ascii="宋体" w:hAnsi="宋体" w:eastAsia="宋体"/>
          <w:bCs/>
          <w:kern w:val="0"/>
          <w:sz w:val="24"/>
          <w:szCs w:val="24"/>
          <w:lang w:eastAsia="zh-CN"/>
        </w:rPr>
        <w:t>（</w:t>
      </w:r>
      <w:r>
        <w:rPr>
          <w:rFonts w:hint="eastAsia" w:ascii="宋体" w:hAnsi="宋体" w:eastAsia="宋体"/>
          <w:bCs/>
          <w:kern w:val="0"/>
          <w:sz w:val="24"/>
          <w:szCs w:val="24"/>
        </w:rPr>
        <w:t>依视路</w:t>
      </w:r>
      <w:r>
        <w:rPr>
          <w:rFonts w:hint="eastAsia" w:ascii="宋体" w:hAnsi="宋体" w:eastAsia="宋体"/>
          <w:bCs/>
          <w:kern w:val="0"/>
          <w:sz w:val="24"/>
          <w:szCs w:val="24"/>
          <w:lang w:val="en-US" w:eastAsia="zh-CN"/>
        </w:rPr>
        <w:t xml:space="preserve"> </w:t>
      </w:r>
      <w:r>
        <w:rPr>
          <w:rFonts w:hint="eastAsia" w:ascii="宋体" w:hAnsi="宋体" w:eastAsia="宋体"/>
          <w:bCs/>
          <w:kern w:val="0"/>
          <w:sz w:val="24"/>
          <w:szCs w:val="24"/>
        </w:rPr>
        <w:t>陆逊梯卡</w:t>
      </w:r>
      <w:r>
        <w:rPr>
          <w:rFonts w:hint="eastAsia" w:ascii="宋体" w:hAnsi="宋体" w:eastAsia="宋体"/>
          <w:bCs/>
          <w:kern w:val="0"/>
          <w:sz w:val="24"/>
          <w:szCs w:val="24"/>
          <w:lang w:eastAsia="zh-CN"/>
        </w:rPr>
        <w:t>）</w:t>
      </w:r>
      <w:r>
        <w:rPr>
          <w:rFonts w:hint="eastAsia" w:ascii="宋体" w:hAnsi="宋体" w:eastAsia="宋体"/>
          <w:bCs/>
          <w:kern w:val="0"/>
          <w:sz w:val="24"/>
          <w:szCs w:val="24"/>
        </w:rPr>
        <w:t>集团（</w:t>
      </w:r>
      <w:r>
        <w:rPr>
          <w:rFonts w:ascii="宋体" w:hAnsi="宋体" w:eastAsia="宋体"/>
          <w:bCs/>
          <w:kern w:val="0"/>
          <w:sz w:val="24"/>
          <w:szCs w:val="24"/>
        </w:rPr>
        <w:t>全球最大的眼镜制造商和零售商之一</w:t>
      </w:r>
      <w:r>
        <w:rPr>
          <w:rFonts w:hint="eastAsia" w:ascii="宋体" w:hAnsi="宋体" w:eastAsia="宋体"/>
          <w:bCs/>
          <w:kern w:val="0"/>
          <w:sz w:val="24"/>
          <w:szCs w:val="24"/>
        </w:rPr>
        <w:t>，上市公司）丨亚洲区精益总监</w:t>
      </w:r>
    </w:p>
    <w:p w14:paraId="74F6E1F2">
      <w:pPr>
        <w:spacing w:line="480" w:lineRule="exact"/>
        <w:rPr>
          <w:rFonts w:hint="eastAsia" w:ascii="宋体" w:hAnsi="宋体" w:eastAsia="宋体"/>
          <w:bCs/>
          <w:kern w:val="0"/>
          <w:sz w:val="24"/>
          <w:szCs w:val="24"/>
        </w:rPr>
      </w:pPr>
      <w:r>
        <w:rPr>
          <w:rFonts w:hint="eastAsia" w:ascii="宋体" w:hAnsi="宋体" w:eastAsia="宋体"/>
          <w:b/>
          <w:kern w:val="0"/>
          <w:sz w:val="24"/>
          <w:szCs w:val="24"/>
        </w:rPr>
        <w:t>曾任：</w:t>
      </w:r>
      <w:r>
        <w:rPr>
          <w:rFonts w:ascii="宋体" w:hAnsi="宋体" w:eastAsia="宋体"/>
          <w:kern w:val="0"/>
          <w:sz w:val="24"/>
          <w:szCs w:val="24"/>
        </w:rPr>
        <w:t>TD Tom Davies</w:t>
      </w:r>
      <w:r>
        <w:rPr>
          <w:rFonts w:hint="eastAsia" w:ascii="宋体" w:hAnsi="宋体" w:eastAsia="宋体"/>
          <w:kern w:val="0"/>
          <w:sz w:val="24"/>
          <w:szCs w:val="24"/>
          <w:lang w:eastAsia="zh-CN"/>
        </w:rPr>
        <w:t>（</w:t>
      </w:r>
      <w:r>
        <w:rPr>
          <w:rFonts w:ascii="Segoe UI" w:hAnsi="Segoe UI" w:eastAsia="Segoe UI" w:cs="Segoe UI"/>
          <w:i w:val="0"/>
          <w:iCs w:val="0"/>
          <w:caps w:val="0"/>
          <w:spacing w:val="0"/>
          <w:sz w:val="24"/>
          <w:szCs w:val="24"/>
          <w:shd w:val="clear" w:fill="FFFFFF"/>
        </w:rPr>
        <w:t>汤姆・戴维斯</w:t>
      </w:r>
      <w:r>
        <w:rPr>
          <w:rFonts w:hint="eastAsia" w:ascii="Segoe UI" w:hAnsi="Segoe UI" w:eastAsia="宋体" w:cs="Segoe UI"/>
          <w:i w:val="0"/>
          <w:iCs w:val="0"/>
          <w:caps w:val="0"/>
          <w:spacing w:val="0"/>
          <w:sz w:val="24"/>
          <w:szCs w:val="24"/>
          <w:shd w:val="clear" w:fill="FFFFFF"/>
          <w:lang w:eastAsia="zh-CN"/>
        </w:rPr>
        <w:t>）</w:t>
      </w:r>
      <w:r>
        <w:rPr>
          <w:rFonts w:hint="eastAsia" w:ascii="宋体" w:hAnsi="宋体" w:eastAsia="宋体"/>
          <w:kern w:val="0"/>
          <w:sz w:val="24"/>
          <w:szCs w:val="24"/>
        </w:rPr>
        <w:t>（英国高端眼镜定制品牌）</w:t>
      </w:r>
      <w:r>
        <w:rPr>
          <w:rFonts w:hint="eastAsia" w:ascii="宋体" w:hAnsi="宋体" w:eastAsia="宋体"/>
          <w:bCs/>
          <w:kern w:val="0"/>
          <w:sz w:val="24"/>
          <w:szCs w:val="24"/>
        </w:rPr>
        <w:t>丨中国总经理</w:t>
      </w:r>
    </w:p>
    <w:p w14:paraId="3E470337">
      <w:pPr>
        <w:spacing w:line="480" w:lineRule="exact"/>
        <w:rPr>
          <w:rFonts w:hint="eastAsia" w:ascii="宋体" w:hAnsi="宋体" w:eastAsia="宋体"/>
          <w:bCs/>
          <w:kern w:val="0"/>
          <w:sz w:val="24"/>
          <w:szCs w:val="24"/>
        </w:rPr>
      </w:pPr>
      <w:r>
        <w:rPr>
          <w:rFonts w:hint="eastAsia" w:ascii="宋体" w:hAnsi="宋体" w:eastAsia="宋体"/>
          <w:b/>
          <w:kern w:val="0"/>
          <w:sz w:val="24"/>
          <w:szCs w:val="24"/>
        </w:rPr>
        <w:t>曾任：</w:t>
      </w:r>
      <w:r>
        <w:rPr>
          <w:rFonts w:hint="eastAsia" w:ascii="宋体" w:hAnsi="宋体" w:eastAsia="宋体"/>
          <w:bCs/>
          <w:kern w:val="0"/>
          <w:sz w:val="24"/>
          <w:szCs w:val="24"/>
        </w:rPr>
        <w:t>保时捷汽车</w:t>
      </w:r>
      <w:r>
        <w:rPr>
          <w:rFonts w:hint="eastAsia" w:ascii="宋体" w:hAnsi="宋体" w:eastAsia="宋体"/>
          <w:bCs/>
          <w:kern w:val="0"/>
          <w:sz w:val="24"/>
          <w:szCs w:val="24"/>
          <w:lang w:eastAsia="zh-CN"/>
        </w:rPr>
        <w:t>（世界</w:t>
      </w:r>
      <w:r>
        <w:rPr>
          <w:rFonts w:hint="eastAsia" w:ascii="宋体" w:hAnsi="宋体" w:eastAsia="宋体"/>
          <w:bCs/>
          <w:kern w:val="0"/>
          <w:sz w:val="24"/>
          <w:szCs w:val="24"/>
          <w:lang w:val="en-US" w:eastAsia="zh-CN"/>
        </w:rPr>
        <w:t>500强，上市公司）</w:t>
      </w:r>
      <w:r>
        <w:rPr>
          <w:rFonts w:hint="eastAsia" w:ascii="宋体" w:hAnsi="宋体" w:eastAsia="宋体"/>
          <w:bCs/>
          <w:kern w:val="0"/>
          <w:sz w:val="24"/>
          <w:szCs w:val="24"/>
        </w:rPr>
        <w:t>丨精益咨询顾问</w:t>
      </w:r>
    </w:p>
    <w:p w14:paraId="45532A06">
      <w:pPr>
        <w:spacing w:line="480" w:lineRule="exact"/>
        <w:rPr>
          <w:rFonts w:hint="eastAsia" w:ascii="宋体" w:hAnsi="宋体" w:eastAsia="宋体"/>
          <w:b/>
          <w:kern w:val="0"/>
          <w:sz w:val="24"/>
          <w:szCs w:val="24"/>
        </w:rPr>
      </w:pPr>
      <w:r>
        <w:rPr>
          <w:rFonts w:hint="eastAsia" w:ascii="宋体" w:hAnsi="宋体" w:eastAsia="宋体"/>
          <w:b/>
          <w:kern w:val="0"/>
          <w:sz w:val="24"/>
          <w:szCs w:val="24"/>
        </w:rPr>
        <w:t>擅长领域：</w:t>
      </w:r>
      <w:r>
        <w:rPr>
          <w:rFonts w:hint="eastAsia" w:ascii="宋体" w:hAnsi="宋体" w:eastAsia="宋体"/>
          <w:bCs/>
          <w:kern w:val="0"/>
          <w:sz w:val="24"/>
          <w:szCs w:val="24"/>
        </w:rPr>
        <w:t>精益改善战略规划、精益人才培养、班组长能力提升、六西格玛、TPM设备管理、TQM质量管理、安全生产管理……</w:t>
      </w:r>
    </w:p>
    <w:p w14:paraId="2A845BF9">
      <w:pPr>
        <w:spacing w:line="480" w:lineRule="exact"/>
        <w:rPr>
          <w:rFonts w:hint="eastAsia" w:ascii="宋体" w:hAnsi="宋体" w:eastAsia="宋体"/>
          <w:b/>
          <w:color w:val="C00000"/>
          <w:kern w:val="0"/>
          <w:sz w:val="28"/>
          <w:szCs w:val="28"/>
        </w:rPr>
      </w:pPr>
      <w:r>
        <w:rPr>
          <w:rFonts w:hint="eastAsia" w:ascii="宋体" w:hAnsi="宋体" w:eastAsia="宋体"/>
          <w:b/>
          <w:color w:val="C00000"/>
          <w:kern w:val="0"/>
          <w:sz w:val="28"/>
          <w:szCs w:val="28"/>
        </w:rPr>
        <w:t>1000+</w:t>
      </w:r>
      <w:r>
        <w:rPr>
          <w:rFonts w:hint="eastAsia" w:ascii="宋体" w:hAnsi="宋体" w:eastAsia="宋体"/>
          <w:b/>
          <w:color w:val="C00000"/>
          <w:kern w:val="0"/>
          <w:sz w:val="24"/>
          <w:szCs w:val="24"/>
        </w:rPr>
        <w:t>精益人才培养：</w:t>
      </w:r>
      <w:r>
        <w:rPr>
          <w:rFonts w:hint="eastAsia" w:ascii="宋体" w:hAnsi="宋体" w:eastAsia="宋体"/>
          <w:bCs/>
          <w:kern w:val="0"/>
          <w:sz w:val="24"/>
          <w:szCs w:val="24"/>
        </w:rPr>
        <w:t>构建与生产流程相匹配的人才培育体系。通过“流程实操+理论赋能+岗位带教”的培养模式，</w:t>
      </w:r>
      <w:r>
        <w:rPr>
          <w:rFonts w:hint="eastAsia" w:ascii="宋体" w:hAnsi="宋体" w:eastAsia="宋体"/>
          <w:b/>
          <w:kern w:val="0"/>
          <w:sz w:val="24"/>
          <w:szCs w:val="24"/>
        </w:rPr>
        <w:t>累计为企业输送300余位优秀班组长，30+位车间主任等1000+精益专业人才，</w:t>
      </w:r>
      <w:r>
        <w:rPr>
          <w:rFonts w:hint="eastAsia" w:ascii="宋体" w:hAnsi="宋体" w:eastAsia="宋体"/>
          <w:bCs/>
          <w:kern w:val="0"/>
          <w:sz w:val="24"/>
          <w:szCs w:val="24"/>
        </w:rPr>
        <w:t>为企业搭建起从基层执行到中层管理再到高层决策的全层级人才梯队。</w:t>
      </w:r>
    </w:p>
    <w:p w14:paraId="24C8E0C2">
      <w:pPr>
        <w:spacing w:line="480" w:lineRule="exact"/>
        <w:rPr>
          <w:rFonts w:ascii="宋体" w:hAnsi="宋体" w:eastAsia="宋体"/>
          <w:b/>
          <w:kern w:val="0"/>
          <w:sz w:val="24"/>
          <w:szCs w:val="24"/>
        </w:rPr>
      </w:pPr>
      <w:r>
        <w:rPr>
          <w:rFonts w:hint="eastAsia" w:ascii="宋体" w:hAnsi="宋体" w:eastAsia="宋体"/>
          <w:b/>
          <w:color w:val="C00000"/>
          <w:kern w:val="0"/>
          <w:sz w:val="28"/>
          <w:szCs w:val="28"/>
        </w:rPr>
        <w:t>100+</w:t>
      </w:r>
      <w:r>
        <w:rPr>
          <w:rFonts w:hint="eastAsia" w:ascii="宋体" w:hAnsi="宋体" w:eastAsia="宋体"/>
          <w:b/>
          <w:color w:val="C00000"/>
          <w:kern w:val="0"/>
          <w:sz w:val="24"/>
          <w:szCs w:val="24"/>
        </w:rPr>
        <w:t>精益咨询项目落地：</w:t>
      </w:r>
      <w:r>
        <w:rPr>
          <w:rFonts w:hint="eastAsia" w:ascii="宋体" w:hAnsi="宋体" w:eastAsia="宋体"/>
          <w:bCs/>
          <w:kern w:val="0"/>
          <w:sz w:val="24"/>
          <w:szCs w:val="24"/>
        </w:rPr>
        <w:t>为100+家企业/工厂等提供定制化咨询服务，通过体系搭建、精益导入等方式，</w:t>
      </w:r>
      <w:r>
        <w:rPr>
          <w:rFonts w:hint="eastAsia" w:ascii="宋体" w:hAnsi="宋体" w:eastAsia="宋体"/>
          <w:b/>
          <w:kern w:val="0"/>
          <w:sz w:val="24"/>
          <w:szCs w:val="24"/>
        </w:rPr>
        <w:t>累计为企业创造十亿元降本增效收益，实现超10亿元业绩增长。</w:t>
      </w:r>
    </w:p>
    <w:tbl>
      <w:tblPr>
        <w:tblStyle w:val="9"/>
        <w:tblW w:w="0" w:type="auto"/>
        <w:tblInd w:w="0" w:type="dxa"/>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Layout w:type="autofit"/>
        <w:tblCellMar>
          <w:top w:w="0" w:type="dxa"/>
          <w:left w:w="108" w:type="dxa"/>
          <w:bottom w:w="0" w:type="dxa"/>
          <w:right w:w="108" w:type="dxa"/>
        </w:tblCellMar>
      </w:tblPr>
      <w:tblGrid>
        <w:gridCol w:w="809"/>
        <w:gridCol w:w="1596"/>
        <w:gridCol w:w="2622"/>
        <w:gridCol w:w="1064"/>
        <w:gridCol w:w="3537"/>
      </w:tblGrid>
      <w:tr w14:paraId="26B20939">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Ex>
        <w:tc>
          <w:tcPr>
            <w:tcW w:w="809" w:type="dxa"/>
            <w:tcBorders>
              <w:top w:val="single" w:color="4472C4" w:themeColor="accent1" w:sz="4" w:space="0"/>
              <w:left w:val="single" w:color="4472C4" w:themeColor="accent1" w:sz="4" w:space="0"/>
              <w:bottom w:val="single" w:color="4472C4" w:themeColor="accent1" w:sz="4" w:space="0"/>
              <w:right w:val="nil"/>
              <w:insideH w:val="single" w:sz="4" w:space="0"/>
              <w:insideV w:val="nil"/>
            </w:tcBorders>
            <w:shd w:val="clear" w:color="auto" w:fill="4472C4" w:themeFill="accent1"/>
            <w:vAlign w:val="center"/>
          </w:tcPr>
          <w:p w14:paraId="1DE3621D">
            <w:pPr>
              <w:spacing w:line="480" w:lineRule="exact"/>
              <w:jc w:val="center"/>
              <w:rPr>
                <w:rFonts w:hint="eastAsia" w:ascii="宋体" w:hAnsi="宋体" w:eastAsia="宋体"/>
                <w:b w:val="0"/>
                <w:bCs/>
                <w:color w:val="FFFFFF" w:themeColor="background1"/>
                <w:kern w:val="0"/>
                <w:szCs w:val="21"/>
                <w14:textFill>
                  <w14:solidFill>
                    <w14:schemeClr w14:val="bg1"/>
                  </w14:solidFill>
                </w14:textFill>
              </w:rPr>
            </w:pPr>
            <w:r>
              <w:rPr>
                <w:rFonts w:hint="eastAsia" w:ascii="宋体" w:hAnsi="宋体" w:eastAsia="宋体"/>
                <w:b/>
                <w:bCs/>
                <w:color w:val="FFFFFF" w:themeColor="background1"/>
                <w:kern w:val="0"/>
                <w:szCs w:val="21"/>
                <w14:textFill>
                  <w14:solidFill>
                    <w14:schemeClr w14:val="bg1"/>
                  </w14:solidFill>
                </w14:textFill>
              </w:rPr>
              <w:t>序号</w:t>
            </w:r>
          </w:p>
        </w:tc>
        <w:tc>
          <w:tcPr>
            <w:tcW w:w="1596" w:type="dxa"/>
            <w:tcBorders>
              <w:top w:val="single" w:color="4472C4" w:themeColor="accent1" w:sz="4" w:space="0"/>
              <w:bottom w:val="single" w:color="4472C4" w:themeColor="accent1" w:sz="4" w:space="0"/>
              <w:right w:val="nil"/>
              <w:insideH w:val="single" w:sz="4" w:space="0"/>
              <w:insideV w:val="nil"/>
            </w:tcBorders>
            <w:shd w:val="clear" w:color="auto" w:fill="4472C4" w:themeFill="accent1"/>
            <w:vAlign w:val="center"/>
          </w:tcPr>
          <w:p w14:paraId="3737BA51">
            <w:pPr>
              <w:spacing w:line="480" w:lineRule="exact"/>
              <w:jc w:val="center"/>
              <w:rPr>
                <w:rFonts w:hint="eastAsia" w:ascii="宋体" w:hAnsi="宋体" w:eastAsia="宋体"/>
                <w:b w:val="0"/>
                <w:bCs/>
                <w:color w:val="FFFFFF" w:themeColor="background1"/>
                <w:kern w:val="0"/>
                <w:szCs w:val="21"/>
                <w14:textFill>
                  <w14:solidFill>
                    <w14:schemeClr w14:val="bg1"/>
                  </w14:solidFill>
                </w14:textFill>
              </w:rPr>
            </w:pPr>
            <w:r>
              <w:rPr>
                <w:rFonts w:hint="eastAsia" w:ascii="宋体" w:hAnsi="宋体" w:eastAsia="宋体"/>
                <w:b/>
                <w:bCs/>
                <w:color w:val="FFFFFF" w:themeColor="background1"/>
                <w:kern w:val="0"/>
                <w:szCs w:val="21"/>
                <w14:textFill>
                  <w14:solidFill>
                    <w14:schemeClr w14:val="bg1"/>
                  </w14:solidFill>
                </w14:textFill>
              </w:rPr>
              <w:t>公司名称</w:t>
            </w:r>
          </w:p>
        </w:tc>
        <w:tc>
          <w:tcPr>
            <w:tcW w:w="2622" w:type="dxa"/>
            <w:tcBorders>
              <w:top w:val="single" w:color="4472C4" w:themeColor="accent1" w:sz="4" w:space="0"/>
              <w:bottom w:val="single" w:color="4472C4" w:themeColor="accent1" w:sz="4" w:space="0"/>
              <w:right w:val="nil"/>
              <w:insideH w:val="single" w:sz="4" w:space="0"/>
              <w:insideV w:val="nil"/>
            </w:tcBorders>
            <w:shd w:val="clear" w:color="auto" w:fill="4472C4" w:themeFill="accent1"/>
            <w:vAlign w:val="center"/>
          </w:tcPr>
          <w:p w14:paraId="6FF38FB6">
            <w:pPr>
              <w:spacing w:line="480" w:lineRule="exact"/>
              <w:jc w:val="center"/>
              <w:rPr>
                <w:rFonts w:hint="eastAsia" w:ascii="宋体" w:hAnsi="宋体" w:eastAsia="宋体"/>
                <w:b w:val="0"/>
                <w:bCs/>
                <w:color w:val="FFFFFF" w:themeColor="background1"/>
                <w:kern w:val="0"/>
                <w:szCs w:val="21"/>
                <w14:textFill>
                  <w14:solidFill>
                    <w14:schemeClr w14:val="bg1"/>
                  </w14:solidFill>
                </w14:textFill>
              </w:rPr>
            </w:pPr>
            <w:r>
              <w:rPr>
                <w:rFonts w:hint="eastAsia" w:ascii="宋体" w:hAnsi="宋体" w:eastAsia="宋体"/>
                <w:b/>
                <w:bCs/>
                <w:color w:val="FFFFFF" w:themeColor="background1"/>
                <w:kern w:val="0"/>
                <w:szCs w:val="21"/>
                <w14:textFill>
                  <w14:solidFill>
                    <w14:schemeClr w14:val="bg1"/>
                  </w14:solidFill>
                </w14:textFill>
              </w:rPr>
              <w:t>实施内容</w:t>
            </w:r>
          </w:p>
        </w:tc>
        <w:tc>
          <w:tcPr>
            <w:tcW w:w="1064" w:type="dxa"/>
            <w:tcBorders>
              <w:top w:val="single" w:color="4472C4" w:themeColor="accent1" w:sz="4" w:space="0"/>
              <w:bottom w:val="single" w:color="4472C4" w:themeColor="accent1" w:sz="4" w:space="0"/>
              <w:right w:val="nil"/>
              <w:insideH w:val="single" w:sz="4" w:space="0"/>
              <w:insideV w:val="nil"/>
            </w:tcBorders>
            <w:shd w:val="clear" w:color="auto" w:fill="4472C4" w:themeFill="accent1"/>
            <w:vAlign w:val="center"/>
          </w:tcPr>
          <w:p w14:paraId="6DDD3499">
            <w:pPr>
              <w:spacing w:line="480" w:lineRule="exact"/>
              <w:jc w:val="center"/>
              <w:rPr>
                <w:rFonts w:hint="eastAsia" w:ascii="宋体" w:hAnsi="宋体" w:eastAsia="宋体"/>
                <w:b w:val="0"/>
                <w:bCs/>
                <w:color w:val="FFFFFF" w:themeColor="background1"/>
                <w:kern w:val="0"/>
                <w:szCs w:val="21"/>
                <w14:textFill>
                  <w14:solidFill>
                    <w14:schemeClr w14:val="bg1"/>
                  </w14:solidFill>
                </w14:textFill>
              </w:rPr>
            </w:pPr>
            <w:r>
              <w:rPr>
                <w:rFonts w:hint="eastAsia" w:ascii="宋体" w:hAnsi="宋体" w:eastAsia="宋体"/>
                <w:b/>
                <w:bCs/>
                <w:color w:val="FFFFFF" w:themeColor="background1"/>
                <w:kern w:val="0"/>
                <w:szCs w:val="21"/>
                <w14:textFill>
                  <w14:solidFill>
                    <w14:schemeClr w14:val="bg1"/>
                  </w14:solidFill>
                </w14:textFill>
              </w:rPr>
              <w:t>实施时间</w:t>
            </w:r>
          </w:p>
        </w:tc>
        <w:tc>
          <w:tcPr>
            <w:tcW w:w="3537" w:type="dxa"/>
            <w:tcBorders>
              <w:top w:val="single" w:color="4472C4" w:themeColor="accent1" w:sz="4" w:space="0"/>
              <w:bottom w:val="single" w:color="4472C4" w:themeColor="accent1" w:sz="4" w:space="0"/>
              <w:right w:val="single" w:color="4472C4" w:themeColor="accent1" w:sz="4" w:space="0"/>
              <w:insideH w:val="single" w:sz="4" w:space="0"/>
              <w:insideV w:val="nil"/>
            </w:tcBorders>
            <w:shd w:val="clear" w:color="auto" w:fill="4472C4" w:themeFill="accent1"/>
            <w:vAlign w:val="center"/>
          </w:tcPr>
          <w:p w14:paraId="5A37B89B">
            <w:pPr>
              <w:spacing w:line="480" w:lineRule="exact"/>
              <w:jc w:val="center"/>
              <w:rPr>
                <w:rFonts w:hint="eastAsia" w:ascii="宋体" w:hAnsi="宋体" w:eastAsia="宋体"/>
                <w:b w:val="0"/>
                <w:bCs/>
                <w:color w:val="FFFFFF" w:themeColor="background1"/>
                <w:kern w:val="0"/>
                <w:szCs w:val="21"/>
                <w14:textFill>
                  <w14:solidFill>
                    <w14:schemeClr w14:val="bg1"/>
                  </w14:solidFill>
                </w14:textFill>
              </w:rPr>
            </w:pPr>
            <w:r>
              <w:rPr>
                <w:rFonts w:hint="eastAsia" w:ascii="宋体" w:hAnsi="宋体" w:eastAsia="宋体"/>
                <w:b/>
                <w:bCs/>
                <w:color w:val="FFFFFF" w:themeColor="background1"/>
                <w:kern w:val="0"/>
                <w:szCs w:val="21"/>
                <w14:textFill>
                  <w14:solidFill>
                    <w14:schemeClr w14:val="bg1"/>
                  </w14:solidFill>
                </w14:textFill>
              </w:rPr>
              <w:t>改善效果</w:t>
            </w:r>
          </w:p>
        </w:tc>
      </w:tr>
      <w:tr w14:paraId="06434AE3">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809" w:type="dxa"/>
            <w:shd w:val="clear" w:color="auto" w:fill="D9E2F3" w:themeFill="accent1" w:themeFillTint="33"/>
            <w:vAlign w:val="center"/>
          </w:tcPr>
          <w:p w14:paraId="17188D4D">
            <w:pPr>
              <w:spacing w:line="480" w:lineRule="exact"/>
              <w:jc w:val="center"/>
              <w:rPr>
                <w:rFonts w:hint="eastAsia" w:ascii="宋体" w:hAnsi="宋体" w:eastAsia="宋体"/>
                <w:b/>
                <w:bCs w:val="0"/>
                <w:kern w:val="0"/>
                <w:szCs w:val="21"/>
              </w:rPr>
            </w:pPr>
            <w:r>
              <w:rPr>
                <w:rFonts w:hint="eastAsia" w:ascii="宋体" w:hAnsi="宋体" w:eastAsia="宋体"/>
                <w:b/>
                <w:bCs/>
                <w:kern w:val="0"/>
                <w:szCs w:val="21"/>
              </w:rPr>
              <w:t>1</w:t>
            </w:r>
          </w:p>
        </w:tc>
        <w:tc>
          <w:tcPr>
            <w:tcW w:w="1596" w:type="dxa"/>
            <w:shd w:val="clear" w:color="auto" w:fill="D9E2F3" w:themeFill="accent1" w:themeFillTint="33"/>
            <w:vAlign w:val="center"/>
          </w:tcPr>
          <w:p w14:paraId="23F1824A">
            <w:pPr>
              <w:spacing w:line="480" w:lineRule="exact"/>
              <w:jc w:val="center"/>
              <w:rPr>
                <w:rFonts w:hint="eastAsia" w:ascii="宋体" w:hAnsi="宋体" w:eastAsia="宋体"/>
                <w:bCs/>
                <w:kern w:val="0"/>
                <w:szCs w:val="21"/>
              </w:rPr>
            </w:pPr>
            <w:r>
              <w:rPr>
                <w:rFonts w:hint="eastAsia" w:ascii="宋体" w:hAnsi="宋体" w:eastAsia="宋体"/>
                <w:bCs/>
                <w:kern w:val="0"/>
                <w:szCs w:val="21"/>
              </w:rPr>
              <w:t>雅瑞集团</w:t>
            </w:r>
          </w:p>
        </w:tc>
        <w:tc>
          <w:tcPr>
            <w:tcW w:w="2622" w:type="dxa"/>
            <w:shd w:val="clear" w:color="auto" w:fill="D9E2F3" w:themeFill="accent1" w:themeFillTint="33"/>
            <w:vAlign w:val="center"/>
          </w:tcPr>
          <w:p w14:paraId="03201705">
            <w:pPr>
              <w:spacing w:line="480" w:lineRule="exact"/>
              <w:jc w:val="center"/>
              <w:rPr>
                <w:rFonts w:hint="eastAsia" w:ascii="宋体" w:hAnsi="宋体" w:eastAsia="宋体"/>
                <w:bCs/>
                <w:kern w:val="0"/>
                <w:szCs w:val="21"/>
              </w:rPr>
            </w:pPr>
            <w:r>
              <w:rPr>
                <w:rFonts w:hint="eastAsia" w:ascii="宋体" w:hAnsi="宋体" w:eastAsia="宋体"/>
                <w:bCs/>
                <w:kern w:val="0"/>
                <w:szCs w:val="21"/>
              </w:rPr>
              <w:t>企业精益管理体系搭建</w:t>
            </w:r>
          </w:p>
        </w:tc>
        <w:tc>
          <w:tcPr>
            <w:tcW w:w="1064" w:type="dxa"/>
            <w:shd w:val="clear" w:color="auto" w:fill="D9E2F3" w:themeFill="accent1" w:themeFillTint="33"/>
            <w:vAlign w:val="center"/>
          </w:tcPr>
          <w:p w14:paraId="011FCEE5">
            <w:pPr>
              <w:spacing w:line="480" w:lineRule="exact"/>
              <w:jc w:val="center"/>
              <w:rPr>
                <w:rFonts w:hint="eastAsia" w:ascii="宋体" w:hAnsi="宋体" w:eastAsia="宋体"/>
                <w:bCs/>
                <w:kern w:val="0"/>
                <w:szCs w:val="21"/>
              </w:rPr>
            </w:pPr>
            <w:r>
              <w:rPr>
                <w:rFonts w:hint="eastAsia" w:ascii="宋体" w:hAnsi="宋体" w:eastAsia="宋体"/>
                <w:bCs/>
                <w:kern w:val="0"/>
                <w:szCs w:val="21"/>
              </w:rPr>
              <w:t>6年+</w:t>
            </w:r>
          </w:p>
        </w:tc>
        <w:tc>
          <w:tcPr>
            <w:tcW w:w="3537" w:type="dxa"/>
            <w:shd w:val="clear" w:color="auto" w:fill="D9E2F3" w:themeFill="accent1" w:themeFillTint="33"/>
            <w:vAlign w:val="center"/>
          </w:tcPr>
          <w:p w14:paraId="3C50E3E3">
            <w:pPr>
              <w:spacing w:line="480" w:lineRule="exact"/>
              <w:jc w:val="center"/>
              <w:rPr>
                <w:rFonts w:hint="eastAsia" w:ascii="宋体" w:hAnsi="宋体" w:eastAsia="宋体"/>
                <w:bCs/>
                <w:kern w:val="0"/>
                <w:szCs w:val="21"/>
              </w:rPr>
            </w:pPr>
            <w:r>
              <w:rPr>
                <w:rFonts w:hint="eastAsia" w:ascii="宋体" w:hAnsi="宋体" w:eastAsia="宋体"/>
                <w:bCs/>
                <w:kern w:val="0"/>
                <w:szCs w:val="21"/>
              </w:rPr>
              <w:t>年销售额突破50亿，年节约金额5000万，年度重点项目持续突破</w:t>
            </w:r>
          </w:p>
        </w:tc>
      </w:tr>
      <w:tr w14:paraId="3968881E">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809" w:type="dxa"/>
            <w:vAlign w:val="center"/>
          </w:tcPr>
          <w:p w14:paraId="00C9F39A">
            <w:pPr>
              <w:spacing w:line="480" w:lineRule="exact"/>
              <w:jc w:val="center"/>
              <w:rPr>
                <w:rFonts w:hint="eastAsia" w:ascii="宋体" w:hAnsi="宋体" w:eastAsia="宋体"/>
                <w:b/>
                <w:bCs w:val="0"/>
                <w:kern w:val="0"/>
                <w:szCs w:val="21"/>
              </w:rPr>
            </w:pPr>
            <w:r>
              <w:rPr>
                <w:rFonts w:hint="eastAsia" w:ascii="宋体" w:hAnsi="宋体" w:eastAsia="宋体"/>
                <w:b/>
                <w:bCs w:val="0"/>
                <w:kern w:val="0"/>
                <w:szCs w:val="21"/>
              </w:rPr>
              <w:t>3</w:t>
            </w:r>
          </w:p>
        </w:tc>
        <w:tc>
          <w:tcPr>
            <w:tcW w:w="1596" w:type="dxa"/>
            <w:vAlign w:val="center"/>
          </w:tcPr>
          <w:p w14:paraId="5E92FD90">
            <w:pPr>
              <w:spacing w:line="480" w:lineRule="exact"/>
              <w:jc w:val="center"/>
              <w:rPr>
                <w:rFonts w:hint="eastAsia" w:ascii="宋体" w:hAnsi="宋体" w:eastAsia="宋体"/>
                <w:bCs/>
                <w:kern w:val="0"/>
                <w:szCs w:val="21"/>
              </w:rPr>
            </w:pPr>
            <w:r>
              <w:rPr>
                <w:rFonts w:hint="eastAsia" w:ascii="宋体" w:hAnsi="宋体" w:eastAsia="宋体"/>
                <w:bCs/>
                <w:kern w:val="0"/>
                <w:szCs w:val="21"/>
              </w:rPr>
              <w:t>浙江焦点烟具</w:t>
            </w:r>
          </w:p>
        </w:tc>
        <w:tc>
          <w:tcPr>
            <w:tcW w:w="2622" w:type="dxa"/>
            <w:vAlign w:val="center"/>
          </w:tcPr>
          <w:p w14:paraId="48165401">
            <w:pPr>
              <w:spacing w:line="480" w:lineRule="exact"/>
              <w:jc w:val="center"/>
              <w:rPr>
                <w:rFonts w:hint="eastAsia" w:ascii="宋体" w:hAnsi="宋体" w:eastAsia="宋体"/>
                <w:bCs/>
                <w:kern w:val="0"/>
                <w:szCs w:val="21"/>
              </w:rPr>
            </w:pPr>
            <w:r>
              <w:rPr>
                <w:rFonts w:hint="eastAsia" w:ascii="宋体" w:hAnsi="宋体" w:eastAsia="宋体"/>
                <w:bCs/>
                <w:kern w:val="0"/>
                <w:szCs w:val="21"/>
              </w:rPr>
              <w:t>TPM/精益管理体系建设/5S</w:t>
            </w:r>
          </w:p>
        </w:tc>
        <w:tc>
          <w:tcPr>
            <w:tcW w:w="1064" w:type="dxa"/>
            <w:vAlign w:val="center"/>
          </w:tcPr>
          <w:p w14:paraId="1BA195BD">
            <w:pPr>
              <w:spacing w:line="480" w:lineRule="exact"/>
              <w:jc w:val="center"/>
              <w:rPr>
                <w:rFonts w:hint="eastAsia" w:ascii="宋体" w:hAnsi="宋体" w:eastAsia="宋体"/>
                <w:bCs/>
                <w:kern w:val="0"/>
                <w:szCs w:val="21"/>
              </w:rPr>
            </w:pPr>
            <w:r>
              <w:rPr>
                <w:rFonts w:hint="eastAsia" w:ascii="宋体" w:hAnsi="宋体" w:eastAsia="宋体"/>
                <w:bCs/>
                <w:kern w:val="0"/>
                <w:szCs w:val="21"/>
              </w:rPr>
              <w:t>3年+</w:t>
            </w:r>
          </w:p>
        </w:tc>
        <w:tc>
          <w:tcPr>
            <w:tcW w:w="3537" w:type="dxa"/>
            <w:vAlign w:val="center"/>
          </w:tcPr>
          <w:p w14:paraId="20FA324D">
            <w:pPr>
              <w:spacing w:line="480" w:lineRule="exact"/>
              <w:jc w:val="center"/>
              <w:rPr>
                <w:rFonts w:hint="eastAsia" w:ascii="宋体" w:hAnsi="宋体" w:eastAsia="宋体"/>
                <w:bCs/>
                <w:kern w:val="0"/>
                <w:szCs w:val="21"/>
              </w:rPr>
            </w:pPr>
            <w:r>
              <w:rPr>
                <w:rFonts w:hint="eastAsia" w:ascii="宋体" w:hAnsi="宋体" w:eastAsia="宋体"/>
                <w:bCs/>
                <w:kern w:val="0"/>
                <w:szCs w:val="21"/>
              </w:rPr>
              <w:t>OEE提升21.4%，故障次数下降77.8%，故障时间下降率72.5%，实际降本金额超过5亿元</w:t>
            </w:r>
          </w:p>
        </w:tc>
      </w:tr>
      <w:tr w14:paraId="571CD532">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809" w:type="dxa"/>
            <w:shd w:val="clear" w:color="auto" w:fill="D9E2F3" w:themeFill="accent1" w:themeFillTint="33"/>
            <w:vAlign w:val="center"/>
          </w:tcPr>
          <w:p w14:paraId="1AB729DD">
            <w:pPr>
              <w:spacing w:line="480" w:lineRule="exact"/>
              <w:jc w:val="center"/>
              <w:rPr>
                <w:rFonts w:hint="eastAsia" w:ascii="宋体" w:hAnsi="宋体" w:eastAsia="宋体"/>
                <w:b/>
                <w:bCs w:val="0"/>
                <w:kern w:val="0"/>
                <w:szCs w:val="21"/>
              </w:rPr>
            </w:pPr>
            <w:r>
              <w:rPr>
                <w:rFonts w:hint="eastAsia" w:ascii="宋体" w:hAnsi="宋体" w:eastAsia="宋体"/>
                <w:b/>
                <w:bCs/>
                <w:kern w:val="0"/>
                <w:szCs w:val="21"/>
              </w:rPr>
              <w:t>3</w:t>
            </w:r>
          </w:p>
        </w:tc>
        <w:tc>
          <w:tcPr>
            <w:tcW w:w="1596" w:type="dxa"/>
            <w:shd w:val="clear" w:color="auto" w:fill="D9E2F3" w:themeFill="accent1" w:themeFillTint="33"/>
            <w:vAlign w:val="center"/>
          </w:tcPr>
          <w:p w14:paraId="7FCDC2D2">
            <w:pPr>
              <w:spacing w:line="480" w:lineRule="exact"/>
              <w:jc w:val="center"/>
              <w:rPr>
                <w:rFonts w:hint="eastAsia" w:ascii="宋体" w:hAnsi="宋体" w:eastAsia="宋体"/>
                <w:bCs/>
                <w:kern w:val="0"/>
                <w:szCs w:val="21"/>
              </w:rPr>
            </w:pPr>
            <w:r>
              <w:rPr>
                <w:rFonts w:hint="eastAsia" w:ascii="宋体" w:hAnsi="宋体" w:eastAsia="宋体"/>
                <w:bCs/>
                <w:kern w:val="0"/>
                <w:szCs w:val="21"/>
                <w:lang w:eastAsia="zh-CN"/>
              </w:rPr>
              <w:t>江盐</w:t>
            </w:r>
            <w:r>
              <w:rPr>
                <w:rFonts w:hint="eastAsia" w:ascii="宋体" w:hAnsi="宋体" w:eastAsia="宋体"/>
                <w:bCs/>
                <w:kern w:val="0"/>
                <w:szCs w:val="21"/>
              </w:rPr>
              <w:t>集团</w:t>
            </w:r>
          </w:p>
        </w:tc>
        <w:tc>
          <w:tcPr>
            <w:tcW w:w="2622" w:type="dxa"/>
            <w:shd w:val="clear" w:color="auto" w:fill="D9E2F3" w:themeFill="accent1" w:themeFillTint="33"/>
            <w:vAlign w:val="center"/>
          </w:tcPr>
          <w:p w14:paraId="13B7F3B1">
            <w:pPr>
              <w:spacing w:line="480" w:lineRule="exact"/>
              <w:jc w:val="center"/>
              <w:rPr>
                <w:rFonts w:hint="eastAsia" w:ascii="宋体" w:hAnsi="宋体" w:eastAsia="宋体"/>
                <w:bCs/>
                <w:kern w:val="0"/>
                <w:szCs w:val="21"/>
                <w:lang w:eastAsia="zh-CN"/>
              </w:rPr>
            </w:pPr>
            <w:r>
              <w:rPr>
                <w:rFonts w:hint="eastAsia" w:ascii="宋体" w:hAnsi="宋体" w:eastAsia="宋体"/>
                <w:bCs/>
                <w:kern w:val="0"/>
                <w:szCs w:val="21"/>
                <w:lang w:eastAsia="zh-CN"/>
              </w:rPr>
              <w:t>阿米巴独立经营</w:t>
            </w:r>
          </w:p>
        </w:tc>
        <w:tc>
          <w:tcPr>
            <w:tcW w:w="1064" w:type="dxa"/>
            <w:shd w:val="clear" w:color="auto" w:fill="D9E2F3" w:themeFill="accent1" w:themeFillTint="33"/>
            <w:vAlign w:val="center"/>
          </w:tcPr>
          <w:p w14:paraId="130C9B74">
            <w:pPr>
              <w:spacing w:line="480" w:lineRule="exact"/>
              <w:jc w:val="center"/>
              <w:rPr>
                <w:rFonts w:hint="eastAsia" w:ascii="宋体" w:hAnsi="宋体" w:eastAsia="宋体"/>
                <w:bCs/>
                <w:kern w:val="0"/>
                <w:szCs w:val="21"/>
              </w:rPr>
            </w:pPr>
            <w:r>
              <w:rPr>
                <w:rFonts w:hint="eastAsia" w:ascii="宋体" w:hAnsi="宋体" w:eastAsia="宋体"/>
                <w:bCs/>
                <w:kern w:val="0"/>
                <w:szCs w:val="21"/>
              </w:rPr>
              <w:t>1年+</w:t>
            </w:r>
          </w:p>
        </w:tc>
        <w:tc>
          <w:tcPr>
            <w:tcW w:w="3537" w:type="dxa"/>
            <w:shd w:val="clear" w:color="auto" w:fill="D9E2F3" w:themeFill="accent1" w:themeFillTint="33"/>
            <w:vAlign w:val="center"/>
          </w:tcPr>
          <w:p w14:paraId="65B475EC">
            <w:pPr>
              <w:spacing w:line="480" w:lineRule="exact"/>
              <w:jc w:val="center"/>
              <w:rPr>
                <w:rFonts w:hint="eastAsia" w:ascii="宋体" w:hAnsi="宋体" w:eastAsia="宋体"/>
                <w:bCs/>
                <w:kern w:val="0"/>
                <w:szCs w:val="21"/>
              </w:rPr>
            </w:pPr>
            <w:r>
              <w:rPr>
                <w:rFonts w:hint="eastAsia" w:ascii="宋体" w:hAnsi="宋体" w:eastAsia="宋体"/>
                <w:bCs/>
                <w:kern w:val="0"/>
                <w:szCs w:val="21"/>
              </w:rPr>
              <w:t>建立集团《</w:t>
            </w:r>
            <w:r>
              <w:rPr>
                <w:rFonts w:hint="eastAsia" w:ascii="宋体" w:hAnsi="宋体" w:eastAsia="宋体"/>
                <w:bCs/>
                <w:kern w:val="0"/>
                <w:szCs w:val="21"/>
                <w:lang w:eastAsia="zh-CN"/>
              </w:rPr>
              <w:t>中国式阿米巴经营体系</w:t>
            </w:r>
            <w:r>
              <w:rPr>
                <w:rFonts w:hint="eastAsia" w:ascii="宋体" w:hAnsi="宋体" w:eastAsia="宋体"/>
                <w:bCs/>
                <w:kern w:val="0"/>
                <w:szCs w:val="21"/>
              </w:rPr>
              <w:t>》</w:t>
            </w:r>
          </w:p>
        </w:tc>
      </w:tr>
      <w:tr w14:paraId="2F37AB42">
        <w:tblPrEx>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CellMar>
            <w:top w:w="0" w:type="dxa"/>
            <w:left w:w="108" w:type="dxa"/>
            <w:bottom w:w="0" w:type="dxa"/>
            <w:right w:w="108" w:type="dxa"/>
          </w:tblCellMar>
        </w:tblPrEx>
        <w:tc>
          <w:tcPr>
            <w:tcW w:w="809" w:type="dxa"/>
            <w:vAlign w:val="center"/>
          </w:tcPr>
          <w:p w14:paraId="776B8D87">
            <w:pPr>
              <w:spacing w:line="480" w:lineRule="exact"/>
              <w:jc w:val="center"/>
              <w:rPr>
                <w:rFonts w:hint="eastAsia" w:ascii="宋体" w:hAnsi="宋体" w:eastAsia="宋体"/>
                <w:b/>
                <w:bCs w:val="0"/>
                <w:kern w:val="0"/>
                <w:szCs w:val="21"/>
              </w:rPr>
            </w:pPr>
            <w:r>
              <w:rPr>
                <w:rFonts w:hint="eastAsia" w:ascii="宋体" w:hAnsi="宋体" w:eastAsia="宋体"/>
                <w:b/>
                <w:bCs/>
                <w:kern w:val="0"/>
                <w:szCs w:val="21"/>
              </w:rPr>
              <w:t>4</w:t>
            </w:r>
          </w:p>
        </w:tc>
        <w:tc>
          <w:tcPr>
            <w:tcW w:w="1596" w:type="dxa"/>
            <w:vAlign w:val="center"/>
          </w:tcPr>
          <w:p w14:paraId="74216987">
            <w:pPr>
              <w:spacing w:line="480" w:lineRule="exact"/>
              <w:jc w:val="center"/>
              <w:rPr>
                <w:rFonts w:hint="eastAsia" w:ascii="宋体" w:hAnsi="宋体" w:eastAsia="宋体"/>
                <w:bCs/>
                <w:kern w:val="0"/>
                <w:szCs w:val="21"/>
              </w:rPr>
            </w:pPr>
            <w:r>
              <w:rPr>
                <w:rFonts w:hint="eastAsia" w:ascii="宋体" w:hAnsi="宋体" w:eastAsia="宋体"/>
                <w:bCs/>
                <w:kern w:val="0"/>
                <w:szCs w:val="21"/>
              </w:rPr>
              <w:t>盛威国际集团</w:t>
            </w:r>
            <w:r>
              <w:rPr>
                <w:rFonts w:hint="eastAsia" w:ascii="宋体" w:hAnsi="宋体" w:eastAsia="宋体"/>
                <w:bCs/>
                <w:kern w:val="0"/>
                <w:szCs w:val="21"/>
              </w:rPr>
              <w:cr/>
            </w:r>
            <w:r>
              <w:rPr>
                <w:rFonts w:hint="eastAsia" w:ascii="宋体" w:hAnsi="宋体" w:eastAsia="宋体"/>
                <w:bCs/>
                <w:kern w:val="0"/>
                <w:szCs w:val="21"/>
              </w:rPr>
              <w:t>-印尼工厂</w:t>
            </w:r>
          </w:p>
        </w:tc>
        <w:tc>
          <w:tcPr>
            <w:tcW w:w="2622" w:type="dxa"/>
            <w:vAlign w:val="center"/>
          </w:tcPr>
          <w:p w14:paraId="7A395D43">
            <w:pPr>
              <w:spacing w:line="480" w:lineRule="exact"/>
              <w:jc w:val="center"/>
              <w:rPr>
                <w:rFonts w:hint="eastAsia" w:ascii="宋体" w:hAnsi="宋体" w:eastAsia="宋体"/>
                <w:bCs/>
                <w:kern w:val="0"/>
                <w:szCs w:val="21"/>
                <w:lang w:eastAsia="zh-CN"/>
              </w:rPr>
            </w:pPr>
            <w:r>
              <w:rPr>
                <w:rFonts w:hint="eastAsia" w:ascii="宋体" w:hAnsi="宋体" w:eastAsia="宋体"/>
                <w:bCs/>
                <w:kern w:val="0"/>
                <w:szCs w:val="21"/>
                <w:lang w:eastAsia="zh-CN"/>
              </w:rPr>
              <w:t>制造战略落地</w:t>
            </w:r>
          </w:p>
          <w:p w14:paraId="40DA590D">
            <w:pPr>
              <w:spacing w:line="480" w:lineRule="exact"/>
              <w:jc w:val="center"/>
              <w:rPr>
                <w:rFonts w:hint="eastAsia" w:ascii="宋体" w:hAnsi="宋体" w:eastAsia="宋体"/>
                <w:bCs/>
                <w:kern w:val="0"/>
                <w:szCs w:val="21"/>
              </w:rPr>
            </w:pPr>
            <w:r>
              <w:rPr>
                <w:rFonts w:hint="eastAsia" w:ascii="宋体" w:hAnsi="宋体" w:eastAsia="宋体"/>
                <w:bCs/>
                <w:kern w:val="0"/>
                <w:szCs w:val="21"/>
              </w:rPr>
              <w:t>新工厂规划及布局设计</w:t>
            </w:r>
          </w:p>
        </w:tc>
        <w:tc>
          <w:tcPr>
            <w:tcW w:w="1064" w:type="dxa"/>
            <w:vAlign w:val="center"/>
          </w:tcPr>
          <w:p w14:paraId="13972F0D">
            <w:pPr>
              <w:spacing w:line="480" w:lineRule="exact"/>
              <w:jc w:val="center"/>
              <w:rPr>
                <w:rFonts w:hint="eastAsia" w:ascii="宋体" w:hAnsi="宋体" w:eastAsia="宋体"/>
                <w:bCs/>
                <w:kern w:val="0"/>
                <w:szCs w:val="21"/>
              </w:rPr>
            </w:pPr>
            <w:r>
              <w:rPr>
                <w:rFonts w:hint="eastAsia" w:ascii="宋体" w:hAnsi="宋体" w:eastAsia="宋体"/>
                <w:bCs/>
                <w:kern w:val="0"/>
                <w:szCs w:val="21"/>
                <w:lang w:val="en-US" w:eastAsia="zh-CN"/>
              </w:rPr>
              <w:t>5</w:t>
            </w:r>
            <w:r>
              <w:rPr>
                <w:rFonts w:hint="eastAsia" w:ascii="宋体" w:hAnsi="宋体" w:eastAsia="宋体"/>
                <w:bCs/>
                <w:kern w:val="0"/>
                <w:szCs w:val="21"/>
              </w:rPr>
              <w:t>年+</w:t>
            </w:r>
          </w:p>
        </w:tc>
        <w:tc>
          <w:tcPr>
            <w:tcW w:w="3537" w:type="dxa"/>
            <w:vAlign w:val="center"/>
          </w:tcPr>
          <w:p w14:paraId="29F4CBB5">
            <w:pPr>
              <w:spacing w:line="480" w:lineRule="exact"/>
              <w:jc w:val="center"/>
              <w:rPr>
                <w:rFonts w:hint="eastAsia" w:ascii="宋体" w:hAnsi="宋体" w:eastAsia="宋体"/>
                <w:bCs/>
                <w:kern w:val="0"/>
                <w:szCs w:val="21"/>
              </w:rPr>
            </w:pPr>
            <w:r>
              <w:rPr>
                <w:rFonts w:hint="eastAsia" w:ascii="宋体" w:hAnsi="宋体" w:eastAsia="宋体"/>
                <w:bCs/>
                <w:kern w:val="0"/>
                <w:szCs w:val="21"/>
              </w:rPr>
              <w:t>人均产出提升20%，面积节约率20%，已完成的设计部分人均产出提升54%</w:t>
            </w:r>
          </w:p>
        </w:tc>
      </w:tr>
    </w:tbl>
    <w:p w14:paraId="7C1E2E86">
      <w:pPr>
        <w:spacing w:line="480" w:lineRule="exact"/>
        <w:rPr>
          <w:rFonts w:hint="eastAsia" w:ascii="宋体" w:hAnsi="宋体" w:eastAsia="宋体"/>
          <w:b/>
          <w:kern w:val="0"/>
          <w:sz w:val="24"/>
          <w:szCs w:val="24"/>
        </w:rPr>
      </w:pPr>
    </w:p>
    <w:p w14:paraId="2CEBCB68">
      <w:pPr>
        <w:spacing w:line="480" w:lineRule="exact"/>
        <w:rPr>
          <w:rFonts w:hint="eastAsia" w:ascii="宋体" w:hAnsi="宋体" w:eastAsia="宋体"/>
          <w:b/>
          <w:kern w:val="0"/>
          <w:sz w:val="24"/>
          <w:szCs w:val="24"/>
        </w:rPr>
      </w:pPr>
      <w:r>
        <w:rPr>
          <w:rFonts w:hint="eastAsia" w:ascii="宋体" w:hAnsi="宋体" w:eastAsia="宋体"/>
          <w:b/>
          <w:kern w:val="0"/>
          <w:sz w:val="24"/>
          <w:szCs w:val="24"/>
        </w:rPr>
        <w:t>实战经验：</w:t>
      </w:r>
    </w:p>
    <w:p w14:paraId="6CE73104">
      <w:pPr>
        <w:spacing w:line="480" w:lineRule="exact"/>
        <w:ind w:firstLine="480" w:firstLineChars="200"/>
        <w:rPr>
          <w:rFonts w:hint="eastAsia" w:ascii="宋体" w:hAnsi="宋体" w:eastAsia="宋体"/>
          <w:bCs/>
          <w:kern w:val="0"/>
          <w:sz w:val="24"/>
          <w:szCs w:val="24"/>
        </w:rPr>
      </w:pPr>
      <w:r>
        <w:rPr>
          <w:rFonts w:hint="eastAsia" w:ascii="宋体" w:hAnsi="宋体" w:eastAsia="宋体"/>
          <w:bCs/>
          <w:kern w:val="0"/>
          <w:sz w:val="24"/>
          <w:szCs w:val="24"/>
        </w:rPr>
        <w:t>霍老师拥有近20年跨行业及跨国经营管理与精益实战经验，早年曾受日本、德国及中国管理专家指导培训，对工厂持续经营体系构建，运营绩效指标改善有深厚理论功底及实战经验</w:t>
      </w:r>
      <w:r>
        <w:rPr>
          <w:rFonts w:hint="eastAsia" w:ascii="宋体" w:hAnsi="宋体" w:eastAsia="宋体"/>
          <w:bCs/>
          <w:kern w:val="0"/>
          <w:sz w:val="24"/>
          <w:szCs w:val="24"/>
          <w:lang w:eastAsia="zh-CN"/>
        </w:rPr>
        <w:t>，</w:t>
      </w:r>
      <w:r>
        <w:rPr>
          <w:rFonts w:hint="eastAsia" w:ascii="宋体" w:hAnsi="宋体" w:eastAsia="宋体"/>
          <w:bCs/>
          <w:kern w:val="0"/>
          <w:sz w:val="24"/>
          <w:szCs w:val="24"/>
        </w:rPr>
        <w:t>擅长通过体系搭建、流程优化、精益导入及数字化建设，全方位解决企业运营痛点，显著提升生产效率、产品质量与综合效益，为企业打造核心竞争力奠定坚实基础。</w:t>
      </w:r>
    </w:p>
    <w:p w14:paraId="7C50574B">
      <w:pPr>
        <w:spacing w:line="480" w:lineRule="exact"/>
        <w:rPr>
          <w:rFonts w:hint="eastAsia" w:ascii="宋体" w:hAnsi="宋体" w:eastAsia="宋体"/>
          <w:b/>
          <w:kern w:val="0"/>
          <w:sz w:val="24"/>
          <w:szCs w:val="24"/>
        </w:rPr>
      </w:pPr>
      <w:r>
        <w:rPr>
          <w:rStyle w:val="5"/>
          <w:rFonts w:hint="eastAsia" w:ascii="宋体" w:hAnsi="宋体" w:eastAsia="宋体"/>
          <w:b/>
          <w:color w:val="000000" w:themeColor="text1"/>
          <w:sz w:val="24"/>
          <w:shd w:val="clear" w:color="auto" w:fill="D9E2F3" w:themeFill="accent1" w:themeFillTint="33"/>
          <w14:textFill>
            <w14:solidFill>
              <w14:schemeClr w14:val="tx1"/>
            </w14:solidFill>
          </w14:textFill>
        </w:rPr>
        <w:t>——任职</w:t>
      </w:r>
      <w:r>
        <w:rPr>
          <w:rStyle w:val="5"/>
          <w:rFonts w:hint="eastAsia" w:ascii="宋体" w:hAnsi="宋体" w:eastAsia="宋体" w:cs="Times New Roman"/>
          <w:b/>
          <w:color w:val="000000" w:themeColor="text1"/>
          <w:sz w:val="24"/>
          <w:shd w:val="clear" w:color="auto" w:fill="D9E2F3" w:themeFill="accent1" w:themeFillTint="33"/>
          <w14:textFill>
            <w14:solidFill>
              <w14:schemeClr w14:val="tx1"/>
            </w14:solidFill>
          </w14:textFill>
        </w:rPr>
        <w:t>Essilor Luxottica</w:t>
      </w:r>
      <w:r>
        <w:rPr>
          <w:rStyle w:val="5"/>
          <w:rFonts w:hint="eastAsia" w:ascii="宋体" w:hAnsi="宋体" w:eastAsia="宋体" w:cs="Times New Roman"/>
          <w:b/>
          <w:color w:val="000000" w:themeColor="text1"/>
          <w:sz w:val="24"/>
          <w:shd w:val="clear" w:color="auto" w:fill="D9E2F3" w:themeFill="accent1" w:themeFillTint="33"/>
          <w:lang w:eastAsia="zh-CN"/>
          <w14:textFill>
            <w14:solidFill>
              <w14:schemeClr w14:val="tx1"/>
            </w14:solidFill>
          </w14:textFill>
        </w:rPr>
        <w:t>（</w:t>
      </w:r>
      <w:r>
        <w:rPr>
          <w:rStyle w:val="5"/>
          <w:rFonts w:hint="eastAsia" w:ascii="宋体" w:hAnsi="宋体" w:eastAsia="宋体" w:cs="Times New Roman"/>
          <w:b/>
          <w:color w:val="000000" w:themeColor="text1"/>
          <w:sz w:val="24"/>
          <w:shd w:val="clear" w:color="auto" w:fill="D9E2F3" w:themeFill="accent1" w:themeFillTint="33"/>
          <w14:textFill>
            <w14:solidFill>
              <w14:schemeClr w14:val="tx1"/>
            </w14:solidFill>
          </w14:textFill>
        </w:rPr>
        <w:t>依视路</w:t>
      </w:r>
      <w:r>
        <w:rPr>
          <w:rStyle w:val="5"/>
          <w:rFonts w:hint="eastAsia" w:ascii="宋体" w:hAnsi="宋体" w:eastAsia="宋体" w:cs="Times New Roman"/>
          <w:b/>
          <w:color w:val="000000" w:themeColor="text1"/>
          <w:sz w:val="24"/>
          <w:shd w:val="clear" w:color="auto" w:fill="D9E2F3" w:themeFill="accent1" w:themeFillTint="33"/>
          <w:lang w:val="en-US" w:eastAsia="zh-CN"/>
          <w14:textFill>
            <w14:solidFill>
              <w14:schemeClr w14:val="tx1"/>
            </w14:solidFill>
          </w14:textFill>
        </w:rPr>
        <w:t xml:space="preserve"> </w:t>
      </w:r>
      <w:bookmarkStart w:id="0" w:name="_GoBack"/>
      <w:bookmarkEnd w:id="0"/>
      <w:r>
        <w:rPr>
          <w:rStyle w:val="5"/>
          <w:rFonts w:hint="eastAsia" w:ascii="宋体" w:hAnsi="宋体" w:eastAsia="宋体" w:cs="Times New Roman"/>
          <w:b/>
          <w:color w:val="000000" w:themeColor="text1"/>
          <w:sz w:val="24"/>
          <w:shd w:val="clear" w:color="auto" w:fill="D9E2F3" w:themeFill="accent1" w:themeFillTint="33"/>
          <w14:textFill>
            <w14:solidFill>
              <w14:schemeClr w14:val="tx1"/>
            </w14:solidFill>
          </w14:textFill>
        </w:rPr>
        <w:t>陆逊梯卡</w:t>
      </w:r>
      <w:r>
        <w:rPr>
          <w:rStyle w:val="5"/>
          <w:rFonts w:hint="eastAsia" w:ascii="宋体" w:hAnsi="宋体" w:eastAsia="宋体" w:cs="Times New Roman"/>
          <w:b/>
          <w:color w:val="000000" w:themeColor="text1"/>
          <w:sz w:val="24"/>
          <w:shd w:val="clear" w:color="auto" w:fill="D9E2F3" w:themeFill="accent1" w:themeFillTint="33"/>
          <w:lang w:eastAsia="zh-CN"/>
          <w14:textFill>
            <w14:solidFill>
              <w14:schemeClr w14:val="tx1"/>
            </w14:solidFill>
          </w14:textFill>
        </w:rPr>
        <w:t>）</w:t>
      </w:r>
      <w:r>
        <w:rPr>
          <w:rStyle w:val="5"/>
          <w:rFonts w:hint="eastAsia" w:ascii="宋体" w:hAnsi="宋体" w:eastAsia="宋体" w:cs="Times New Roman"/>
          <w:b/>
          <w:color w:val="000000" w:themeColor="text1"/>
          <w:sz w:val="24"/>
          <w:shd w:val="clear" w:color="auto" w:fill="D9E2F3" w:themeFill="accent1" w:themeFillTint="33"/>
          <w14:textFill>
            <w14:solidFill>
              <w14:schemeClr w14:val="tx1"/>
            </w14:solidFill>
          </w14:textFill>
        </w:rPr>
        <w:t>集</w:t>
      </w:r>
      <w:r>
        <w:rPr>
          <w:rStyle w:val="5"/>
          <w:rFonts w:hint="eastAsia" w:ascii="宋体" w:hAnsi="宋体" w:eastAsia="宋体"/>
          <w:b/>
          <w:color w:val="000000" w:themeColor="text1"/>
          <w:sz w:val="24"/>
          <w:shd w:val="clear" w:color="auto" w:fill="D9E2F3" w:themeFill="accent1" w:themeFillTint="33"/>
          <w14:textFill>
            <w14:solidFill>
              <w14:schemeClr w14:val="tx1"/>
            </w14:solidFill>
          </w14:textFill>
        </w:rPr>
        <w:t>团亚洲区精益总监期间——</w:t>
      </w:r>
    </w:p>
    <w:p w14:paraId="3131C75E">
      <w:pPr>
        <w:spacing w:line="480" w:lineRule="exact"/>
        <w:rPr>
          <w:rFonts w:hint="eastAsia" w:ascii="宋体" w:hAnsi="宋体" w:eastAsia="宋体"/>
          <w:b/>
          <w:kern w:val="0"/>
          <w:sz w:val="24"/>
          <w:szCs w:val="24"/>
          <w:u w:val="dotDash"/>
        </w:rPr>
      </w:pPr>
      <w:r>
        <w:rPr>
          <w:rFonts w:hint="eastAsia" w:ascii="宋体" w:hAnsi="宋体" w:eastAsia="宋体" w:cs="Cambria Math"/>
          <w:b/>
          <w:color w:val="C00000"/>
          <w:kern w:val="0"/>
          <w:sz w:val="24"/>
          <w:szCs w:val="24"/>
        </w:rPr>
        <w:t>01-</w:t>
      </w:r>
      <w:r>
        <w:rPr>
          <w:rFonts w:ascii="宋体" w:hAnsi="宋体" w:eastAsia="宋体"/>
          <w:b/>
          <w:color w:val="C00000"/>
          <w:kern w:val="0"/>
          <w:sz w:val="24"/>
          <w:szCs w:val="24"/>
        </w:rPr>
        <w:t>外贸生产流程改革：</w:t>
      </w:r>
      <w:r>
        <w:rPr>
          <w:rFonts w:ascii="宋体" w:hAnsi="宋体" w:eastAsia="宋体"/>
          <w:bCs/>
          <w:kern w:val="0"/>
          <w:sz w:val="24"/>
          <w:szCs w:val="24"/>
        </w:rPr>
        <w:t>牵头推进集团外贸生产系统流程改革，编制全套外贸流程作业手册，</w:t>
      </w:r>
      <w:r>
        <w:rPr>
          <w:rFonts w:ascii="宋体" w:hAnsi="宋体" w:eastAsia="宋体"/>
          <w:b/>
          <w:kern w:val="0"/>
          <w:sz w:val="24"/>
          <w:szCs w:val="24"/>
          <w:u w:val="dotDash"/>
        </w:rPr>
        <w:t>推动企业生产效率提升60</w:t>
      </w:r>
      <w:r>
        <w:rPr>
          <w:rFonts w:hint="eastAsia" w:ascii="宋体" w:hAnsi="宋体" w:eastAsia="宋体"/>
          <w:b/>
          <w:kern w:val="0"/>
          <w:sz w:val="24"/>
          <w:szCs w:val="24"/>
          <w:u w:val="dotDash"/>
        </w:rPr>
        <w:t>%。</w:t>
      </w:r>
    </w:p>
    <w:p w14:paraId="5DBA2302">
      <w:pPr>
        <w:spacing w:line="480" w:lineRule="exact"/>
        <w:rPr>
          <w:rFonts w:hint="eastAsia" w:ascii="宋体" w:hAnsi="宋体" w:eastAsia="宋体"/>
          <w:bCs/>
          <w:kern w:val="0"/>
          <w:sz w:val="24"/>
          <w:szCs w:val="24"/>
        </w:rPr>
      </w:pPr>
      <w:r>
        <w:rPr>
          <w:rFonts w:hint="eastAsia" w:ascii="宋体" w:hAnsi="宋体" w:eastAsia="宋体"/>
          <w:b/>
          <w:color w:val="C00000"/>
          <w:kern w:val="0"/>
          <w:sz w:val="24"/>
          <w:szCs w:val="24"/>
        </w:rPr>
        <w:t>02-</w:t>
      </w:r>
      <w:r>
        <w:rPr>
          <w:rFonts w:ascii="宋体" w:hAnsi="宋体" w:eastAsia="宋体"/>
          <w:b/>
          <w:color w:val="C00000"/>
          <w:kern w:val="0"/>
          <w:sz w:val="24"/>
          <w:szCs w:val="24"/>
        </w:rPr>
        <w:t>人才培育体系搭建</w:t>
      </w:r>
      <w:r>
        <w:rPr>
          <w:rFonts w:hint="eastAsia" w:ascii="宋体" w:hAnsi="宋体" w:eastAsia="宋体"/>
          <w:b/>
          <w:color w:val="C00000"/>
          <w:kern w:val="0"/>
          <w:sz w:val="24"/>
          <w:szCs w:val="24"/>
        </w:rPr>
        <w:t>：</w:t>
      </w:r>
      <w:r>
        <w:rPr>
          <w:rFonts w:hint="eastAsia" w:ascii="宋体" w:hAnsi="宋体" w:eastAsia="宋体"/>
          <w:bCs/>
          <w:kern w:val="0"/>
          <w:sz w:val="24"/>
          <w:szCs w:val="24"/>
        </w:rPr>
        <w:t>构建阶梯式人才培养体系，</w:t>
      </w:r>
      <w:r>
        <w:rPr>
          <w:rFonts w:ascii="宋体" w:hAnsi="宋体" w:eastAsia="宋体"/>
          <w:bCs/>
          <w:kern w:val="0"/>
          <w:sz w:val="24"/>
          <w:szCs w:val="24"/>
        </w:rPr>
        <w:t>累计为公司</w:t>
      </w:r>
      <w:r>
        <w:rPr>
          <w:rFonts w:ascii="宋体" w:hAnsi="宋体" w:eastAsia="宋体"/>
          <w:b/>
          <w:kern w:val="0"/>
          <w:sz w:val="24"/>
          <w:szCs w:val="24"/>
          <w:u w:val="dotDash"/>
        </w:rPr>
        <w:t>培养300余位班组长、15位车间主任及8位部门经理</w:t>
      </w:r>
      <w:r>
        <w:rPr>
          <w:rFonts w:ascii="宋体" w:hAnsi="宋体" w:eastAsia="宋体"/>
          <w:bCs/>
          <w:kern w:val="0"/>
          <w:sz w:val="24"/>
          <w:szCs w:val="24"/>
        </w:rPr>
        <w:t>，强化团队核心力量。</w:t>
      </w:r>
    </w:p>
    <w:p w14:paraId="48DDF6F7">
      <w:pPr>
        <w:spacing w:line="480" w:lineRule="exact"/>
        <w:rPr>
          <w:rFonts w:hint="eastAsia" w:ascii="宋体" w:hAnsi="宋体" w:eastAsia="宋体"/>
          <w:bCs/>
          <w:kern w:val="0"/>
          <w:sz w:val="24"/>
          <w:szCs w:val="24"/>
        </w:rPr>
      </w:pPr>
      <w:r>
        <w:rPr>
          <w:rFonts w:hint="eastAsia" w:ascii="宋体" w:hAnsi="宋体" w:eastAsia="宋体" w:cs="Cambria Math"/>
          <w:b/>
          <w:color w:val="C00000"/>
          <w:kern w:val="0"/>
          <w:sz w:val="24"/>
          <w:szCs w:val="24"/>
        </w:rPr>
        <w:t>03-</w:t>
      </w:r>
      <w:r>
        <w:rPr>
          <w:rFonts w:ascii="宋体" w:hAnsi="宋体" w:eastAsia="宋体" w:cs="Cambria Math"/>
          <w:b/>
          <w:color w:val="C00000"/>
          <w:kern w:val="0"/>
          <w:sz w:val="24"/>
          <w:szCs w:val="24"/>
        </w:rPr>
        <w:t>生产体系构建与精益落地：</w:t>
      </w:r>
      <w:r>
        <w:rPr>
          <w:rFonts w:ascii="宋体" w:hAnsi="宋体" w:eastAsia="宋体"/>
          <w:bCs/>
          <w:kern w:val="0"/>
          <w:sz w:val="24"/>
          <w:szCs w:val="24"/>
        </w:rPr>
        <w:t>从无到有搭建企业全套生产体系，引入精益生产方式并推动落地，</w:t>
      </w:r>
      <w:r>
        <w:rPr>
          <w:rFonts w:ascii="宋体" w:hAnsi="宋体" w:eastAsia="宋体"/>
          <w:b/>
          <w:kern w:val="0"/>
          <w:sz w:val="24"/>
          <w:szCs w:val="24"/>
          <w:u w:val="dotDash"/>
        </w:rPr>
        <w:t>该模式至今持续沿用</w:t>
      </w:r>
      <w:r>
        <w:rPr>
          <w:rFonts w:ascii="宋体" w:hAnsi="宋体" w:eastAsia="宋体"/>
          <w:bCs/>
          <w:kern w:val="0"/>
          <w:sz w:val="24"/>
          <w:szCs w:val="24"/>
        </w:rPr>
        <w:t>；导入精益生产后，产品交付周期实现大幅优化，</w:t>
      </w:r>
      <w:r>
        <w:rPr>
          <w:rFonts w:ascii="宋体" w:hAnsi="宋体" w:eastAsia="宋体"/>
          <w:b/>
          <w:kern w:val="0"/>
          <w:sz w:val="24"/>
          <w:szCs w:val="24"/>
          <w:u w:val="dotDash"/>
        </w:rPr>
        <w:t>由平均60天缩短至9天</w:t>
      </w:r>
      <w:r>
        <w:rPr>
          <w:rFonts w:ascii="宋体" w:hAnsi="宋体" w:eastAsia="宋体"/>
          <w:bCs/>
          <w:kern w:val="0"/>
          <w:sz w:val="24"/>
          <w:szCs w:val="24"/>
        </w:rPr>
        <w:t>，显著提升客户响应速度。</w:t>
      </w:r>
    </w:p>
    <w:p w14:paraId="06584983">
      <w:pPr>
        <w:spacing w:line="480" w:lineRule="exact"/>
        <w:rPr>
          <w:rFonts w:hint="eastAsia" w:ascii="宋体" w:hAnsi="宋体" w:eastAsia="宋体"/>
          <w:bCs/>
          <w:kern w:val="0"/>
          <w:sz w:val="24"/>
          <w:szCs w:val="24"/>
        </w:rPr>
      </w:pPr>
      <w:r>
        <w:rPr>
          <w:rFonts w:hint="eastAsia" w:ascii="宋体" w:hAnsi="宋体" w:eastAsia="宋体" w:cs="Cambria Math"/>
          <w:b/>
          <w:color w:val="C00000"/>
          <w:kern w:val="0"/>
          <w:sz w:val="24"/>
          <w:szCs w:val="24"/>
        </w:rPr>
        <w:t>04-</w:t>
      </w:r>
      <w:r>
        <w:rPr>
          <w:rFonts w:ascii="宋体" w:hAnsi="宋体" w:eastAsia="宋体" w:cs="Cambria Math"/>
          <w:b/>
          <w:color w:val="C00000"/>
          <w:kern w:val="0"/>
          <w:sz w:val="24"/>
          <w:szCs w:val="24"/>
        </w:rPr>
        <w:t>年度经营成本管控：</w:t>
      </w:r>
      <w:r>
        <w:rPr>
          <w:rFonts w:ascii="宋体" w:hAnsi="宋体" w:eastAsia="宋体"/>
          <w:bCs/>
          <w:kern w:val="0"/>
          <w:sz w:val="24"/>
          <w:szCs w:val="24"/>
        </w:rPr>
        <w:t>主导执行年度经营计划，聚焦成本优化，</w:t>
      </w:r>
      <w:r>
        <w:rPr>
          <w:rFonts w:ascii="宋体" w:hAnsi="宋体" w:eastAsia="宋体"/>
          <w:b/>
          <w:kern w:val="0"/>
          <w:sz w:val="24"/>
          <w:szCs w:val="24"/>
          <w:u w:val="dotDash"/>
        </w:rPr>
        <w:t>每年为公司节约财务金额达8000万元，</w:t>
      </w:r>
      <w:r>
        <w:rPr>
          <w:rFonts w:ascii="宋体" w:hAnsi="宋体" w:eastAsia="宋体"/>
          <w:bCs/>
          <w:kern w:val="0"/>
          <w:sz w:val="24"/>
          <w:szCs w:val="24"/>
        </w:rPr>
        <w:t>实现经营效益最大化。</w:t>
      </w:r>
    </w:p>
    <w:p w14:paraId="0408C9A9">
      <w:pPr>
        <w:spacing w:line="480" w:lineRule="exact"/>
        <w:rPr>
          <w:rFonts w:hint="eastAsia" w:ascii="宋体" w:hAnsi="宋体" w:eastAsia="宋体"/>
          <w:bCs/>
          <w:kern w:val="0"/>
          <w:sz w:val="24"/>
          <w:szCs w:val="24"/>
        </w:rPr>
      </w:pPr>
    </w:p>
    <w:p w14:paraId="602D0C2B">
      <w:pPr>
        <w:spacing w:line="480" w:lineRule="exact"/>
        <w:rPr>
          <w:rStyle w:val="5"/>
          <w:rFonts w:hint="eastAsia" w:ascii="宋体" w:hAnsi="宋体" w:eastAsia="宋体"/>
          <w:b/>
          <w:color w:val="000000" w:themeColor="text1"/>
          <w:sz w:val="24"/>
          <w:shd w:val="clear" w:color="auto" w:fill="D9E2F3" w:themeFill="accent1" w:themeFillTint="33"/>
          <w14:textFill>
            <w14:solidFill>
              <w14:schemeClr w14:val="tx1"/>
            </w14:solidFill>
          </w14:textFill>
        </w:rPr>
      </w:pPr>
      <w:r>
        <w:rPr>
          <w:rStyle w:val="5"/>
          <w:rFonts w:hint="eastAsia" w:ascii="宋体" w:hAnsi="宋体" w:eastAsia="宋体"/>
          <w:b/>
          <w:color w:val="000000" w:themeColor="text1"/>
          <w:sz w:val="24"/>
          <w:shd w:val="clear" w:color="auto" w:fill="D9E2F3" w:themeFill="accent1" w:themeFillTint="33"/>
          <w14:textFill>
            <w14:solidFill>
              <w14:schemeClr w14:val="tx1"/>
            </w14:solidFill>
          </w14:textFill>
        </w:rPr>
        <w:t>——任职</w:t>
      </w:r>
      <w:r>
        <w:rPr>
          <w:rStyle w:val="5"/>
          <w:rFonts w:ascii="宋体" w:hAnsi="宋体" w:eastAsia="宋体"/>
          <w:b/>
          <w:color w:val="000000" w:themeColor="text1"/>
          <w:sz w:val="24"/>
          <w:shd w:val="clear" w:color="auto" w:fill="D9E2F3" w:themeFill="accent1" w:themeFillTint="33"/>
          <w14:textFill>
            <w14:solidFill>
              <w14:schemeClr w14:val="tx1"/>
            </w14:solidFill>
          </w14:textFill>
        </w:rPr>
        <w:t>TD Tom Davie</w:t>
      </w:r>
      <w:r>
        <w:rPr>
          <w:rStyle w:val="5"/>
          <w:rFonts w:hint="eastAsia" w:ascii="宋体" w:hAnsi="宋体" w:eastAsia="宋体" w:cs="Times New Roman"/>
          <w:b/>
          <w:color w:val="000000" w:themeColor="text1"/>
          <w:sz w:val="24"/>
          <w:shd w:val="clear" w:color="auto" w:fill="D9E2F3" w:themeFill="accent1" w:themeFillTint="33"/>
          <w14:textFill>
            <w14:solidFill>
              <w14:schemeClr w14:val="tx1"/>
            </w14:solidFill>
          </w14:textFill>
        </w:rPr>
        <w:t>s</w:t>
      </w:r>
      <w:r>
        <w:rPr>
          <w:rStyle w:val="5"/>
          <w:rFonts w:hint="eastAsia" w:ascii="宋体" w:hAnsi="宋体" w:eastAsia="宋体" w:cs="Times New Roman"/>
          <w:b/>
          <w:color w:val="000000" w:themeColor="text1"/>
          <w:sz w:val="24"/>
          <w:shd w:val="clear" w:color="auto" w:fill="D9E2F3" w:themeFill="accent1" w:themeFillTint="33"/>
          <w:lang w:eastAsia="zh-CN"/>
          <w14:textFill>
            <w14:solidFill>
              <w14:schemeClr w14:val="tx1"/>
            </w14:solidFill>
          </w14:textFill>
        </w:rPr>
        <w:t>（</w:t>
      </w:r>
      <w:r>
        <w:rPr>
          <w:rStyle w:val="5"/>
          <w:rFonts w:hint="eastAsia" w:ascii="宋体" w:hAnsi="宋体" w:eastAsia="宋体" w:cs="Times New Roman"/>
          <w:b/>
          <w:color w:val="000000" w:themeColor="text1"/>
          <w:sz w:val="24"/>
          <w:shd w:val="clear" w:color="auto" w:fill="D9E2F3" w:themeFill="accent1" w:themeFillTint="33"/>
          <w14:textFill>
            <w14:solidFill>
              <w14:schemeClr w14:val="tx1"/>
            </w14:solidFill>
          </w14:textFill>
        </w:rPr>
        <w:t>汤姆・戴维斯</w:t>
      </w:r>
      <w:r>
        <w:rPr>
          <w:rStyle w:val="5"/>
          <w:rFonts w:hint="eastAsia" w:ascii="宋体" w:hAnsi="宋体" w:eastAsia="宋体" w:cs="Times New Roman"/>
          <w:b/>
          <w:color w:val="000000" w:themeColor="text1"/>
          <w:sz w:val="24"/>
          <w:shd w:val="clear" w:color="auto" w:fill="D9E2F3" w:themeFill="accent1" w:themeFillTint="33"/>
          <w:lang w:eastAsia="zh-CN"/>
          <w14:textFill>
            <w14:solidFill>
              <w14:schemeClr w14:val="tx1"/>
            </w14:solidFill>
          </w14:textFill>
        </w:rPr>
        <w:t>）公司</w:t>
      </w:r>
      <w:r>
        <w:rPr>
          <w:rStyle w:val="5"/>
          <w:rFonts w:hint="eastAsia" w:ascii="宋体" w:hAnsi="宋体" w:eastAsia="宋体"/>
          <w:b/>
          <w:color w:val="000000" w:themeColor="text1"/>
          <w:sz w:val="24"/>
          <w:shd w:val="clear" w:color="auto" w:fill="D9E2F3" w:themeFill="accent1" w:themeFillTint="33"/>
          <w14:textFill>
            <w14:solidFill>
              <w14:schemeClr w14:val="tx1"/>
            </w14:solidFill>
          </w14:textFill>
        </w:rPr>
        <w:t>中国总经理期间——</w:t>
      </w:r>
    </w:p>
    <w:p w14:paraId="3B38BB2B">
      <w:pPr>
        <w:spacing w:line="480" w:lineRule="exact"/>
        <w:rPr>
          <w:rFonts w:hint="eastAsia" w:ascii="宋体" w:hAnsi="宋体" w:eastAsia="宋体"/>
          <w:bCs/>
          <w:kern w:val="0"/>
          <w:sz w:val="24"/>
          <w:szCs w:val="24"/>
        </w:rPr>
      </w:pPr>
      <w:r>
        <w:rPr>
          <w:rFonts w:hint="eastAsia" w:ascii="Cambria Math" w:hAnsi="Cambria Math" w:eastAsia="宋体" w:cs="Cambria Math"/>
          <w:b/>
          <w:color w:val="C00000"/>
          <w:kern w:val="0"/>
          <w:sz w:val="24"/>
          <w:szCs w:val="24"/>
        </w:rPr>
        <w:t>01-</w:t>
      </w:r>
      <w:r>
        <w:rPr>
          <w:rFonts w:ascii="Cambria Math" w:hAnsi="Cambria Math" w:eastAsia="宋体" w:cs="Cambria Math"/>
          <w:b/>
          <w:color w:val="C00000"/>
          <w:kern w:val="0"/>
          <w:sz w:val="24"/>
          <w:szCs w:val="24"/>
        </w:rPr>
        <w:t>经营管理体系搭建与新线达产：</w:t>
      </w:r>
      <w:r>
        <w:rPr>
          <w:rFonts w:ascii="宋体" w:hAnsi="宋体" w:eastAsia="宋体"/>
          <w:bCs/>
          <w:kern w:val="0"/>
          <w:sz w:val="24"/>
          <w:szCs w:val="24"/>
        </w:rPr>
        <w:t>构建业内领先的经营管理体系，推动新样板线高效落地，</w:t>
      </w:r>
      <w:r>
        <w:rPr>
          <w:rFonts w:ascii="宋体" w:hAnsi="宋体" w:eastAsia="宋体"/>
          <w:b/>
          <w:kern w:val="0"/>
          <w:sz w:val="24"/>
          <w:szCs w:val="24"/>
          <w:u w:val="dotDash"/>
        </w:rPr>
        <w:t>实现30天内样板线达产</w:t>
      </w:r>
      <w:r>
        <w:rPr>
          <w:rFonts w:ascii="宋体" w:hAnsi="宋体" w:eastAsia="宋体"/>
          <w:bCs/>
          <w:kern w:val="0"/>
          <w:sz w:val="24"/>
          <w:szCs w:val="24"/>
        </w:rPr>
        <w:t>；针对新线生产痛点优化，</w:t>
      </w:r>
      <w:r>
        <w:rPr>
          <w:rFonts w:ascii="宋体" w:hAnsi="宋体" w:eastAsia="宋体"/>
          <w:b/>
          <w:kern w:val="0"/>
          <w:sz w:val="24"/>
          <w:szCs w:val="24"/>
          <w:u w:val="dotDash"/>
        </w:rPr>
        <w:t>3个月内将新线碎片率降幅超50%，</w:t>
      </w:r>
      <w:r>
        <w:rPr>
          <w:rFonts w:ascii="宋体" w:hAnsi="宋体" w:eastAsia="宋体"/>
          <w:bCs/>
          <w:kern w:val="0"/>
          <w:sz w:val="24"/>
          <w:szCs w:val="24"/>
        </w:rPr>
        <w:t>提升生产稳定性。</w:t>
      </w:r>
    </w:p>
    <w:p w14:paraId="0A712988">
      <w:pPr>
        <w:spacing w:line="480" w:lineRule="exact"/>
        <w:rPr>
          <w:rFonts w:hint="eastAsia" w:ascii="宋体" w:hAnsi="宋体" w:eastAsia="宋体"/>
          <w:b/>
          <w:kern w:val="0"/>
          <w:sz w:val="24"/>
          <w:szCs w:val="24"/>
          <w:u w:val="dotDash"/>
        </w:rPr>
      </w:pPr>
      <w:r>
        <w:rPr>
          <w:rFonts w:hint="eastAsia" w:ascii="Cambria Math" w:hAnsi="Cambria Math" w:eastAsia="宋体" w:cs="Cambria Math"/>
          <w:b/>
          <w:color w:val="C00000"/>
          <w:kern w:val="0"/>
          <w:sz w:val="24"/>
          <w:szCs w:val="24"/>
        </w:rPr>
        <w:t>02-</w:t>
      </w:r>
      <w:r>
        <w:rPr>
          <w:rFonts w:ascii="Cambria Math" w:hAnsi="Cambria Math" w:eastAsia="宋体" w:cs="Cambria Math"/>
          <w:b/>
          <w:color w:val="C00000"/>
          <w:kern w:val="0"/>
          <w:sz w:val="24"/>
          <w:szCs w:val="24"/>
        </w:rPr>
        <w:t>全流程质量管控与效率提升：</w:t>
      </w:r>
      <w:r>
        <w:rPr>
          <w:rFonts w:ascii="宋体" w:hAnsi="宋体" w:eastAsia="宋体"/>
          <w:bCs/>
          <w:kern w:val="0"/>
          <w:sz w:val="24"/>
          <w:szCs w:val="24"/>
        </w:rPr>
        <w:t>推行全流程质量管控标准，</w:t>
      </w:r>
      <w:r>
        <w:rPr>
          <w:rFonts w:ascii="宋体" w:hAnsi="宋体" w:eastAsia="宋体"/>
          <w:b/>
          <w:kern w:val="0"/>
          <w:sz w:val="24"/>
          <w:szCs w:val="24"/>
          <w:u w:val="dotDash"/>
        </w:rPr>
        <w:t>3个月内将工厂A级率从90%提升至97%以上，6个月内使返工率下降50%</w:t>
      </w:r>
      <w:r>
        <w:rPr>
          <w:rFonts w:ascii="宋体" w:hAnsi="宋体" w:eastAsia="宋体"/>
          <w:bCs/>
          <w:kern w:val="0"/>
          <w:sz w:val="24"/>
          <w:szCs w:val="24"/>
        </w:rPr>
        <w:t>；同步优化设备管理，</w:t>
      </w:r>
      <w:r>
        <w:rPr>
          <w:rFonts w:ascii="宋体" w:hAnsi="宋体" w:eastAsia="宋体"/>
          <w:b/>
          <w:kern w:val="0"/>
          <w:sz w:val="24"/>
          <w:szCs w:val="24"/>
          <w:u w:val="dotDash"/>
        </w:rPr>
        <w:t>推动设备综合效率（OEE）提升 10%，结案焦点改善课题30余项。</w:t>
      </w:r>
    </w:p>
    <w:p w14:paraId="3252EFC5">
      <w:pPr>
        <w:spacing w:line="480" w:lineRule="exact"/>
        <w:rPr>
          <w:rFonts w:hint="eastAsia" w:ascii="宋体" w:hAnsi="宋体" w:eastAsia="宋体"/>
          <w:bCs/>
          <w:kern w:val="0"/>
          <w:sz w:val="24"/>
          <w:szCs w:val="24"/>
        </w:rPr>
      </w:pPr>
      <w:r>
        <w:rPr>
          <w:rFonts w:hint="eastAsia" w:ascii="Cambria Math" w:hAnsi="Cambria Math" w:eastAsia="宋体" w:cs="Cambria Math"/>
          <w:b/>
          <w:color w:val="C00000"/>
          <w:kern w:val="0"/>
          <w:sz w:val="24"/>
          <w:szCs w:val="24"/>
        </w:rPr>
        <w:t>03-</w:t>
      </w:r>
      <w:r>
        <w:rPr>
          <w:rFonts w:ascii="Cambria Math" w:hAnsi="Cambria Math" w:eastAsia="宋体" w:cs="Cambria Math"/>
          <w:b/>
          <w:color w:val="C00000"/>
          <w:kern w:val="0"/>
          <w:sz w:val="24"/>
          <w:szCs w:val="24"/>
        </w:rPr>
        <w:t>数字化体系搭建</w:t>
      </w:r>
      <w:r>
        <w:rPr>
          <w:rFonts w:hint="eastAsia" w:ascii="Cambria Math" w:hAnsi="Cambria Math" w:eastAsia="宋体" w:cs="Cambria Math"/>
          <w:b/>
          <w:color w:val="C00000"/>
          <w:kern w:val="0"/>
          <w:sz w:val="24"/>
          <w:szCs w:val="24"/>
        </w:rPr>
        <w:t>与成本节约</w:t>
      </w:r>
      <w:r>
        <w:rPr>
          <w:rFonts w:ascii="Cambria Math" w:hAnsi="Cambria Math" w:eastAsia="宋体" w:cs="Cambria Math"/>
          <w:b/>
          <w:color w:val="C00000"/>
          <w:kern w:val="0"/>
          <w:sz w:val="24"/>
          <w:szCs w:val="24"/>
        </w:rPr>
        <w:t>：</w:t>
      </w:r>
      <w:r>
        <w:rPr>
          <w:rFonts w:ascii="宋体" w:hAnsi="宋体" w:eastAsia="宋体"/>
          <w:bCs/>
          <w:kern w:val="0"/>
          <w:sz w:val="24"/>
          <w:szCs w:val="24"/>
        </w:rPr>
        <w:t>创新搭建行业首个覆盖“筹建</w:t>
      </w:r>
      <w:r>
        <w:rPr>
          <w:rFonts w:hint="eastAsia" w:ascii="宋体" w:hAnsi="宋体" w:eastAsia="宋体"/>
          <w:bCs/>
          <w:kern w:val="0"/>
          <w:sz w:val="24"/>
          <w:szCs w:val="24"/>
        </w:rPr>
        <w:t>-</w:t>
      </w:r>
      <w:r>
        <w:rPr>
          <w:rFonts w:ascii="宋体" w:hAnsi="宋体" w:eastAsia="宋体"/>
          <w:bCs/>
          <w:kern w:val="0"/>
          <w:sz w:val="24"/>
          <w:szCs w:val="24"/>
        </w:rPr>
        <w:t>满产”全流程的智能工厂管理应用体系及设备运维数据决策数字化系统，为制造领域树立智能工厂建设标杆。通过多维度优化，</w:t>
      </w:r>
      <w:r>
        <w:rPr>
          <w:rFonts w:ascii="宋体" w:hAnsi="宋体" w:eastAsia="宋体"/>
          <w:b/>
          <w:kern w:val="0"/>
          <w:sz w:val="24"/>
          <w:szCs w:val="24"/>
          <w:u w:val="dotDash"/>
        </w:rPr>
        <w:t>累计为企业节约生产成本5000万元以上</w:t>
      </w:r>
      <w:r>
        <w:rPr>
          <w:rFonts w:hint="eastAsia" w:ascii="宋体" w:hAnsi="宋体" w:eastAsia="宋体"/>
          <w:bCs/>
          <w:kern w:val="0"/>
          <w:sz w:val="24"/>
          <w:szCs w:val="24"/>
        </w:rPr>
        <w:t>。</w:t>
      </w:r>
    </w:p>
    <w:p w14:paraId="32C5163C">
      <w:pPr>
        <w:spacing w:line="480" w:lineRule="exact"/>
        <w:rPr>
          <w:rFonts w:hint="eastAsia" w:ascii="宋体" w:hAnsi="宋体" w:eastAsia="宋体"/>
          <w:b/>
          <w:kern w:val="0"/>
          <w:sz w:val="24"/>
          <w:szCs w:val="24"/>
        </w:rPr>
      </w:pPr>
    </w:p>
    <w:p w14:paraId="4DF2C214">
      <w:pPr>
        <w:spacing w:line="480" w:lineRule="exact"/>
        <w:rPr>
          <w:rFonts w:hint="eastAsia" w:ascii="宋体" w:hAnsi="宋体" w:eastAsia="宋体"/>
          <w:b/>
          <w:kern w:val="0"/>
          <w:sz w:val="24"/>
          <w:szCs w:val="24"/>
        </w:rPr>
      </w:pPr>
      <w:r>
        <w:rPr>
          <w:rFonts w:hint="eastAsia" w:ascii="宋体" w:hAnsi="宋体" w:eastAsia="宋体"/>
          <w:b/>
          <w:kern w:val="0"/>
          <w:sz w:val="24"/>
          <w:szCs w:val="24"/>
        </w:rPr>
        <w:t>部分咨询项目案例：</w:t>
      </w:r>
    </w:p>
    <w:p w14:paraId="79EF5CC2">
      <w:pPr>
        <w:spacing w:line="480" w:lineRule="exact"/>
        <w:rPr>
          <w:rFonts w:hint="eastAsia" w:ascii="宋体" w:hAnsi="宋体" w:eastAsia="宋体"/>
          <w:b/>
          <w:color w:val="C00000"/>
          <w:kern w:val="0"/>
          <w:sz w:val="24"/>
          <w:szCs w:val="24"/>
        </w:rPr>
      </w:pPr>
      <w:r>
        <w:rPr>
          <w:rFonts w:hint="eastAsia" w:ascii="Times New Roman" w:hAnsi="Times New Roman" w:eastAsia="宋体" w:cs="Times New Roman"/>
          <w:b/>
          <w:color w:val="C00000"/>
          <w:kern w:val="0"/>
          <w:sz w:val="24"/>
          <w:szCs w:val="24"/>
        </w:rPr>
        <w:t>——</w:t>
      </w:r>
      <w:r>
        <w:rPr>
          <w:rFonts w:ascii="宋体" w:hAnsi="宋体" w:eastAsia="宋体"/>
          <w:b/>
          <w:color w:val="C00000"/>
          <w:kern w:val="0"/>
          <w:sz w:val="24"/>
          <w:szCs w:val="24"/>
        </w:rPr>
        <w:t>多模块综合精益改善咨询项目成果</w:t>
      </w:r>
      <w:r>
        <w:rPr>
          <w:rFonts w:hint="eastAsia" w:ascii="宋体" w:hAnsi="宋体" w:eastAsia="宋体"/>
          <w:b/>
          <w:color w:val="C00000"/>
          <w:kern w:val="0"/>
          <w:sz w:val="24"/>
          <w:szCs w:val="24"/>
        </w:rPr>
        <w:t>——</w:t>
      </w:r>
    </w:p>
    <w:p w14:paraId="6EC67C5B">
      <w:pPr>
        <w:spacing w:line="480" w:lineRule="exact"/>
        <w:rPr>
          <w:rFonts w:ascii="宋体" w:hAnsi="宋体" w:eastAsia="宋体"/>
          <w:bCs/>
          <w:kern w:val="0"/>
          <w:sz w:val="24"/>
          <w:szCs w:val="24"/>
        </w:rPr>
      </w:pPr>
      <w:r>
        <w:rPr>
          <w:rFonts w:hint="eastAsia" w:ascii="宋体" w:hAnsi="宋体" w:eastAsia="宋体"/>
          <w:b/>
          <w:kern w:val="0"/>
          <w:sz w:val="24"/>
          <w:szCs w:val="24"/>
          <w:u w:val="dotDash"/>
        </w:rPr>
        <w:t>【</w:t>
      </w:r>
      <w:r>
        <w:rPr>
          <w:rFonts w:ascii="宋体" w:hAnsi="宋体" w:eastAsia="宋体"/>
          <w:b/>
          <w:kern w:val="0"/>
          <w:sz w:val="24"/>
          <w:szCs w:val="24"/>
          <w:u w:val="dotDash"/>
        </w:rPr>
        <w:t>1】盛威国际集团（安防与通信制造业）</w:t>
      </w:r>
      <w:r>
        <w:rPr>
          <w:rFonts w:ascii="宋体" w:hAnsi="宋体" w:eastAsia="宋体"/>
          <w:bCs/>
          <w:kern w:val="0"/>
          <w:sz w:val="24"/>
          <w:szCs w:val="24"/>
        </w:rPr>
        <w:t>：</w:t>
      </w:r>
      <w:r>
        <w:rPr>
          <w:rFonts w:hint="eastAsia" w:ascii="宋体" w:hAnsi="宋体" w:eastAsia="宋体"/>
          <w:bCs/>
          <w:kern w:val="0"/>
          <w:sz w:val="24"/>
          <w:szCs w:val="24"/>
        </w:rPr>
        <w:t>主导</w:t>
      </w:r>
      <w:r>
        <w:rPr>
          <w:rFonts w:ascii="宋体" w:hAnsi="宋体" w:eastAsia="宋体"/>
          <w:bCs/>
          <w:kern w:val="0"/>
          <w:sz w:val="24"/>
          <w:szCs w:val="24"/>
        </w:rPr>
        <w:t>精益研发、精益采购、内建品质、全价值链改善、班组建设五大核心模块</w:t>
      </w:r>
      <w:r>
        <w:rPr>
          <w:rFonts w:hint="eastAsia" w:ascii="宋体" w:hAnsi="宋体" w:eastAsia="宋体"/>
          <w:bCs/>
          <w:kern w:val="0"/>
          <w:sz w:val="24"/>
          <w:szCs w:val="24"/>
        </w:rPr>
        <w:t>改善</w:t>
      </w:r>
      <w:r>
        <w:rPr>
          <w:rFonts w:ascii="宋体" w:hAnsi="宋体" w:eastAsia="宋体"/>
          <w:bCs/>
          <w:kern w:val="0"/>
          <w:sz w:val="24"/>
          <w:szCs w:val="24"/>
        </w:rPr>
        <w:t>，各项目均超额达成目标。其中，研发节点计划达成率目标≥80%，同步完成采购方式优化与全流程梳理，为企业全价值链高效运转奠定基础。</w:t>
      </w:r>
    </w:p>
    <w:p w14:paraId="36743C1F">
      <w:pPr>
        <w:spacing w:line="480" w:lineRule="exact"/>
        <w:rPr>
          <w:rFonts w:ascii="宋体" w:hAnsi="宋体" w:eastAsia="宋体"/>
          <w:bCs/>
          <w:kern w:val="0"/>
          <w:sz w:val="24"/>
          <w:szCs w:val="24"/>
        </w:rPr>
      </w:pPr>
      <w:r>
        <w:rPr>
          <w:rFonts w:hint="eastAsia" w:ascii="宋体" w:hAnsi="宋体" w:eastAsia="宋体"/>
          <w:b/>
          <w:kern w:val="0"/>
          <w:sz w:val="24"/>
          <w:szCs w:val="24"/>
          <w:u w:val="dotDash"/>
        </w:rPr>
        <w:t>【2】诚益集团</w:t>
      </w:r>
      <w:r>
        <w:rPr>
          <w:rFonts w:ascii="宋体" w:hAnsi="宋体" w:eastAsia="宋体"/>
          <w:b/>
          <w:kern w:val="0"/>
          <w:sz w:val="24"/>
          <w:szCs w:val="24"/>
          <w:u w:val="dotDash"/>
        </w:rPr>
        <w:t>（眼镜制造业）</w:t>
      </w:r>
      <w:r>
        <w:rPr>
          <w:rFonts w:hint="eastAsia" w:ascii="宋体" w:hAnsi="宋体" w:eastAsia="宋体"/>
          <w:bCs/>
          <w:kern w:val="0"/>
          <w:sz w:val="24"/>
          <w:szCs w:val="24"/>
          <w:u w:val="dotDash"/>
        </w:rPr>
        <w:t>：</w:t>
      </w:r>
      <w:r>
        <w:rPr>
          <w:rFonts w:hint="eastAsia" w:ascii="宋体" w:hAnsi="宋体" w:eastAsia="宋体"/>
          <w:bCs/>
          <w:kern w:val="0"/>
          <w:sz w:val="24"/>
          <w:szCs w:val="24"/>
        </w:rPr>
        <w:t>聚焦单元化经营、TPM、5S、质量提升、效率提升及精益管理体系建设，关键运营指标全面突破。一次合格率提升至99.71%；单位产品能耗降幅32.3%；单位人工成本降幅19%；设备综合效率（OEE）提升至80.5%。</w:t>
      </w:r>
    </w:p>
    <w:p w14:paraId="669F361B">
      <w:pPr>
        <w:spacing w:line="480" w:lineRule="exact"/>
        <w:rPr>
          <w:rFonts w:ascii="宋体" w:hAnsi="宋体" w:eastAsia="宋体"/>
          <w:b/>
          <w:color w:val="C00000"/>
          <w:kern w:val="0"/>
          <w:sz w:val="24"/>
          <w:szCs w:val="24"/>
        </w:rPr>
      </w:pPr>
      <w:r>
        <w:rPr>
          <w:rFonts w:hint="eastAsia" w:ascii="Times New Roman" w:hAnsi="Times New Roman" w:eastAsia="宋体" w:cs="Times New Roman"/>
          <w:b/>
          <w:color w:val="C00000"/>
          <w:kern w:val="0"/>
          <w:sz w:val="24"/>
          <w:szCs w:val="24"/>
        </w:rPr>
        <w:t>——</w:t>
      </w:r>
      <w:r>
        <w:rPr>
          <w:rFonts w:ascii="宋体" w:hAnsi="宋体" w:eastAsia="宋体"/>
          <w:b/>
          <w:color w:val="C00000"/>
          <w:kern w:val="0"/>
          <w:sz w:val="24"/>
          <w:szCs w:val="24"/>
        </w:rPr>
        <w:t>TPM与现场改善专项咨询项目成果</w:t>
      </w:r>
      <w:r>
        <w:rPr>
          <w:rFonts w:hint="eastAsia" w:ascii="宋体" w:hAnsi="宋体" w:eastAsia="宋体"/>
          <w:b/>
          <w:color w:val="C00000"/>
          <w:kern w:val="0"/>
          <w:sz w:val="24"/>
          <w:szCs w:val="24"/>
        </w:rPr>
        <w:t>——</w:t>
      </w:r>
    </w:p>
    <w:p w14:paraId="04EB97BB">
      <w:pPr>
        <w:spacing w:line="480" w:lineRule="exact"/>
        <w:rPr>
          <w:rFonts w:ascii="宋体" w:hAnsi="宋体" w:eastAsia="宋体"/>
          <w:bCs/>
          <w:kern w:val="0"/>
          <w:sz w:val="24"/>
          <w:szCs w:val="24"/>
        </w:rPr>
      </w:pPr>
      <w:r>
        <w:rPr>
          <w:rFonts w:ascii="宋体" w:hAnsi="宋体" w:eastAsia="宋体"/>
          <w:b/>
          <w:kern w:val="0"/>
          <w:sz w:val="24"/>
          <w:szCs w:val="24"/>
          <w:u w:val="dotDash"/>
        </w:rPr>
        <w:t>【3】青山集团子公司（钢铁与新能源制造业）：</w:t>
      </w:r>
      <w:r>
        <w:rPr>
          <w:rFonts w:ascii="宋体" w:hAnsi="宋体" w:eastAsia="宋体"/>
          <w:bCs/>
          <w:kern w:val="0"/>
          <w:sz w:val="24"/>
          <w:szCs w:val="24"/>
        </w:rPr>
        <w:t>深耕TPM与精益班组管理，设备完好率提升至99%；设备故障率降至0.2%；平均无故障时间（MTBF）延长至33.75日，大幅提升生产环节稳定性与连续性。</w:t>
      </w:r>
    </w:p>
    <w:p w14:paraId="5D28A651">
      <w:pPr>
        <w:spacing w:line="480" w:lineRule="exact"/>
        <w:rPr>
          <w:rFonts w:ascii="宋体" w:hAnsi="宋体" w:eastAsia="宋体"/>
          <w:b/>
          <w:kern w:val="0"/>
          <w:sz w:val="24"/>
          <w:szCs w:val="24"/>
        </w:rPr>
      </w:pPr>
      <w:r>
        <w:rPr>
          <w:rFonts w:ascii="宋体" w:hAnsi="宋体" w:eastAsia="宋体"/>
          <w:b/>
          <w:kern w:val="0"/>
          <w:sz w:val="24"/>
          <w:szCs w:val="24"/>
          <w:u w:val="dotDash"/>
        </w:rPr>
        <w:t>【4】</w:t>
      </w:r>
      <w:r>
        <w:rPr>
          <w:rFonts w:hint="eastAsia" w:ascii="宋体" w:hAnsi="宋体" w:eastAsia="宋体"/>
          <w:b/>
          <w:kern w:val="0"/>
          <w:sz w:val="24"/>
          <w:szCs w:val="24"/>
          <w:u w:val="dotDash"/>
        </w:rPr>
        <w:t>嘉</w:t>
      </w:r>
      <w:r>
        <w:rPr>
          <w:rFonts w:ascii="宋体" w:hAnsi="宋体" w:eastAsia="宋体"/>
          <w:b/>
          <w:kern w:val="0"/>
          <w:sz w:val="24"/>
          <w:szCs w:val="24"/>
          <w:u w:val="dotDash"/>
        </w:rPr>
        <w:t>瑞福家具（家具制造业）：</w:t>
      </w:r>
      <w:r>
        <w:rPr>
          <w:rFonts w:ascii="宋体" w:hAnsi="宋体" w:eastAsia="宋体"/>
          <w:bCs/>
          <w:kern w:val="0"/>
          <w:sz w:val="24"/>
          <w:szCs w:val="24"/>
        </w:rPr>
        <w:t>推进TPM与5S现场改善，以验收评分为核心目标，最终成果远超预期。其中，TPM验收得分92分，5S验收得分89分，两项指标均获评“优秀”，现场管理标准化、规范化水平大幅提升。</w:t>
      </w:r>
    </w:p>
    <w:p w14:paraId="7B8152E7">
      <w:pPr>
        <w:spacing w:line="480" w:lineRule="exact"/>
        <w:rPr>
          <w:rFonts w:ascii="宋体" w:hAnsi="宋体" w:eastAsia="宋体"/>
          <w:b/>
          <w:kern w:val="0"/>
          <w:sz w:val="24"/>
          <w:szCs w:val="24"/>
        </w:rPr>
      </w:pPr>
      <w:r>
        <w:rPr>
          <w:rFonts w:ascii="宋体" w:hAnsi="宋体" w:eastAsia="宋体"/>
          <w:b/>
          <w:kern w:val="0"/>
          <w:sz w:val="24"/>
          <w:szCs w:val="24"/>
          <w:u w:val="dotDash"/>
        </w:rPr>
        <w:t>【5】伟望汽配（汽车零部件制造业）：</w:t>
      </w:r>
      <w:r>
        <w:rPr>
          <w:rFonts w:ascii="宋体" w:hAnsi="宋体" w:eastAsia="宋体"/>
          <w:bCs/>
          <w:kern w:val="0"/>
          <w:sz w:val="24"/>
          <w:szCs w:val="24"/>
        </w:rPr>
        <w:t>开展TQM、TPM、5S、班组建设、CI及6sigma改善，效率与成本优化成果显著。设备综合效率（OEE）提升至93%，各项目经集团验收均达80分以上；成本节约超预期，2018年目标节约5000万元，项目核算达8000万元，实际累计节约超1亿元。</w:t>
      </w:r>
    </w:p>
    <w:p w14:paraId="2B56742F">
      <w:pPr>
        <w:spacing w:line="480" w:lineRule="exact"/>
        <w:rPr>
          <w:rFonts w:ascii="宋体" w:hAnsi="宋体" w:eastAsia="宋体"/>
          <w:bCs/>
          <w:kern w:val="0"/>
          <w:sz w:val="24"/>
          <w:szCs w:val="24"/>
        </w:rPr>
      </w:pPr>
      <w:r>
        <w:rPr>
          <w:rFonts w:ascii="宋体" w:hAnsi="宋体" w:eastAsia="宋体"/>
          <w:b/>
          <w:kern w:val="0"/>
          <w:sz w:val="24"/>
          <w:szCs w:val="24"/>
        </w:rPr>
        <w:t>【6】百世科技：</w:t>
      </w:r>
      <w:r>
        <w:rPr>
          <w:rFonts w:ascii="宋体" w:hAnsi="宋体" w:eastAsia="宋体"/>
          <w:bCs/>
          <w:kern w:val="0"/>
          <w:sz w:val="24"/>
          <w:szCs w:val="24"/>
        </w:rPr>
        <w:t>实施TPM、价值链分析及改善、指标分析及改善、5S改善</w:t>
      </w:r>
      <w:r>
        <w:rPr>
          <w:rFonts w:hint="eastAsia" w:ascii="宋体" w:hAnsi="宋体" w:eastAsia="宋体"/>
          <w:bCs/>
          <w:kern w:val="0"/>
          <w:sz w:val="24"/>
          <w:szCs w:val="24"/>
        </w:rPr>
        <w:t>，</w:t>
      </w:r>
      <w:r>
        <w:rPr>
          <w:rFonts w:ascii="宋体" w:hAnsi="宋体" w:eastAsia="宋体"/>
          <w:bCs/>
          <w:kern w:val="0"/>
          <w:sz w:val="24"/>
          <w:szCs w:val="24"/>
        </w:rPr>
        <w:t>项目验收评价为“优秀”，累计降本金额达2036.85万元，实现价值链各环节成本精准优化。</w:t>
      </w:r>
    </w:p>
    <w:p w14:paraId="1E0A5566">
      <w:pPr>
        <w:spacing w:line="480" w:lineRule="exact"/>
        <w:rPr>
          <w:rFonts w:ascii="宋体" w:hAnsi="宋体" w:eastAsia="宋体"/>
          <w:b/>
          <w:color w:val="C00000"/>
          <w:kern w:val="0"/>
          <w:sz w:val="24"/>
          <w:szCs w:val="24"/>
        </w:rPr>
      </w:pPr>
      <w:r>
        <w:rPr>
          <w:rFonts w:hint="eastAsia" w:ascii="Times New Roman" w:hAnsi="Times New Roman" w:eastAsia="宋体" w:cs="Times New Roman"/>
          <w:b/>
          <w:color w:val="C00000"/>
          <w:kern w:val="0"/>
          <w:sz w:val="24"/>
          <w:szCs w:val="24"/>
        </w:rPr>
        <w:t>——</w:t>
      </w:r>
      <w:r>
        <w:rPr>
          <w:rFonts w:ascii="宋体" w:hAnsi="宋体" w:eastAsia="宋体"/>
          <w:b/>
          <w:color w:val="C00000"/>
          <w:kern w:val="0"/>
          <w:sz w:val="24"/>
          <w:szCs w:val="24"/>
        </w:rPr>
        <w:t>质量管理体系建设咨询项目成果</w:t>
      </w:r>
      <w:r>
        <w:rPr>
          <w:rFonts w:hint="eastAsia" w:ascii="宋体" w:hAnsi="宋体" w:eastAsia="宋体"/>
          <w:b/>
          <w:color w:val="C00000"/>
          <w:kern w:val="0"/>
          <w:sz w:val="24"/>
          <w:szCs w:val="24"/>
        </w:rPr>
        <w:t>——</w:t>
      </w:r>
    </w:p>
    <w:p w14:paraId="0D7AF00B">
      <w:pPr>
        <w:spacing w:line="480" w:lineRule="exact"/>
        <w:rPr>
          <w:rFonts w:ascii="宋体" w:hAnsi="宋体" w:eastAsia="宋体"/>
          <w:b/>
          <w:kern w:val="0"/>
          <w:sz w:val="24"/>
          <w:szCs w:val="24"/>
        </w:rPr>
      </w:pPr>
      <w:r>
        <w:rPr>
          <w:rFonts w:ascii="宋体" w:hAnsi="宋体" w:eastAsia="宋体"/>
          <w:b/>
          <w:kern w:val="0"/>
          <w:sz w:val="24"/>
          <w:szCs w:val="24"/>
        </w:rPr>
        <w:t>【</w:t>
      </w:r>
      <w:r>
        <w:rPr>
          <w:rFonts w:hint="eastAsia" w:ascii="宋体" w:hAnsi="宋体" w:eastAsia="宋体"/>
          <w:b/>
          <w:kern w:val="0"/>
          <w:sz w:val="24"/>
          <w:szCs w:val="24"/>
        </w:rPr>
        <w:t>7</w:t>
      </w:r>
      <w:r>
        <w:rPr>
          <w:rFonts w:ascii="宋体" w:hAnsi="宋体" w:eastAsia="宋体"/>
          <w:b/>
          <w:kern w:val="0"/>
          <w:sz w:val="24"/>
          <w:szCs w:val="24"/>
        </w:rPr>
        <w:t>】施罗华集团</w:t>
      </w:r>
      <w:r>
        <w:rPr>
          <w:rFonts w:hint="eastAsia" w:ascii="宋体" w:hAnsi="宋体" w:eastAsia="宋体"/>
          <w:b/>
          <w:kern w:val="0"/>
          <w:sz w:val="24"/>
          <w:szCs w:val="24"/>
        </w:rPr>
        <w:t>（</w:t>
      </w:r>
      <w:r>
        <w:rPr>
          <w:rFonts w:ascii="宋体" w:hAnsi="宋体" w:eastAsia="宋体"/>
          <w:b/>
          <w:kern w:val="0"/>
          <w:sz w:val="24"/>
          <w:szCs w:val="24"/>
        </w:rPr>
        <w:t>光学产品制造业</w:t>
      </w:r>
      <w:r>
        <w:rPr>
          <w:rFonts w:hint="eastAsia" w:ascii="宋体" w:hAnsi="宋体" w:eastAsia="宋体"/>
          <w:b/>
          <w:kern w:val="0"/>
          <w:sz w:val="24"/>
          <w:szCs w:val="24"/>
        </w:rPr>
        <w:t>）</w:t>
      </w:r>
      <w:r>
        <w:rPr>
          <w:rFonts w:ascii="宋体" w:hAnsi="宋体" w:eastAsia="宋体"/>
          <w:b/>
          <w:kern w:val="0"/>
          <w:sz w:val="24"/>
          <w:szCs w:val="24"/>
        </w:rPr>
        <w:t>：</w:t>
      </w:r>
      <w:r>
        <w:rPr>
          <w:rFonts w:ascii="宋体" w:hAnsi="宋体" w:eastAsia="宋体"/>
          <w:bCs/>
          <w:kern w:val="0"/>
          <w:sz w:val="24"/>
          <w:szCs w:val="24"/>
        </w:rPr>
        <w:t>专项开展质量管理体系建设，产品质量管控能力大幅增强。一次合格率目标提升10%，实际提升17%，超额完成质量改善任务，构建起稳定可靠的质量管理机制。</w:t>
      </w:r>
    </w:p>
    <w:p w14:paraId="213E2BFA">
      <w:pPr>
        <w:spacing w:line="480" w:lineRule="exact"/>
        <w:rPr>
          <w:rFonts w:hint="eastAsia" w:ascii="宋体" w:hAnsi="宋体" w:eastAsia="宋体"/>
          <w:b/>
          <w:kern w:val="0"/>
          <w:sz w:val="24"/>
          <w:szCs w:val="24"/>
        </w:rPr>
      </w:pPr>
      <w:r>
        <w:rPr>
          <w:rFonts w:hint="eastAsia" w:ascii="宋体" w:hAnsi="宋体" w:eastAsia="宋体"/>
          <w:b/>
          <w:kern w:val="0"/>
          <w:sz w:val="24"/>
          <w:szCs w:val="24"/>
        </w:rPr>
        <w:t>……</w:t>
      </w:r>
    </w:p>
    <w:p w14:paraId="6256227B">
      <w:pPr>
        <w:spacing w:line="480" w:lineRule="exact"/>
        <w:rPr>
          <w:rFonts w:hint="eastAsia" w:ascii="宋体" w:hAnsi="宋体" w:eastAsia="宋体"/>
          <w:b/>
          <w:kern w:val="0"/>
          <w:sz w:val="24"/>
          <w:szCs w:val="24"/>
        </w:rPr>
      </w:pPr>
    </w:p>
    <w:p w14:paraId="24334482">
      <w:pPr>
        <w:spacing w:line="480" w:lineRule="exact"/>
        <w:rPr>
          <w:rFonts w:ascii="宋体" w:hAnsi="宋体" w:eastAsia="宋体"/>
          <w:b/>
          <w:kern w:val="0"/>
          <w:sz w:val="24"/>
          <w:szCs w:val="24"/>
        </w:rPr>
      </w:pPr>
      <w:r>
        <w:rPr>
          <w:rFonts w:hint="eastAsia" w:ascii="宋体" w:hAnsi="宋体" w:eastAsia="宋体"/>
          <w:b/>
          <w:kern w:val="0"/>
          <w:sz w:val="24"/>
          <w:szCs w:val="24"/>
        </w:rPr>
        <w:t>主讲课程：</w:t>
      </w:r>
    </w:p>
    <w:p w14:paraId="7BE34C93">
      <w:pPr>
        <w:spacing w:line="480" w:lineRule="exact"/>
        <w:rPr>
          <w:rFonts w:hint="eastAsia" w:ascii="宋体" w:hAnsi="宋体" w:eastAsia="宋体"/>
          <w:bCs/>
          <w:kern w:val="0"/>
          <w:sz w:val="24"/>
          <w:szCs w:val="24"/>
        </w:rPr>
      </w:pPr>
      <w:r>
        <w:rPr>
          <w:rFonts w:hint="eastAsia" w:ascii="宋体" w:hAnsi="宋体" w:eastAsia="宋体"/>
          <w:bCs/>
          <w:kern w:val="0"/>
          <w:sz w:val="24"/>
          <w:szCs w:val="24"/>
        </w:rPr>
        <w:t>《从体系构建到效能提升——精益运营管理实战》</w:t>
      </w:r>
    </w:p>
    <w:p w14:paraId="68A09A39">
      <w:pPr>
        <w:spacing w:line="480" w:lineRule="exact"/>
        <w:rPr>
          <w:rFonts w:hint="eastAsia" w:ascii="宋体" w:hAnsi="宋体" w:eastAsia="宋体"/>
          <w:bCs/>
          <w:kern w:val="0"/>
          <w:sz w:val="24"/>
          <w:szCs w:val="24"/>
        </w:rPr>
      </w:pPr>
      <w:r>
        <w:rPr>
          <w:rFonts w:hint="eastAsia" w:ascii="宋体" w:hAnsi="宋体" w:eastAsia="宋体"/>
          <w:bCs/>
          <w:kern w:val="0"/>
          <w:sz w:val="24"/>
          <w:szCs w:val="24"/>
        </w:rPr>
        <w:t>《精益六西格玛体系——以质量为根基的持续改善体系》</w:t>
      </w:r>
    </w:p>
    <w:p w14:paraId="2288ADB1">
      <w:pPr>
        <w:spacing w:line="480" w:lineRule="exact"/>
        <w:rPr>
          <w:rFonts w:ascii="宋体" w:hAnsi="宋体" w:eastAsia="宋体"/>
          <w:bCs/>
          <w:kern w:val="0"/>
          <w:sz w:val="24"/>
          <w:szCs w:val="24"/>
        </w:rPr>
      </w:pPr>
      <w:r>
        <w:rPr>
          <w:rFonts w:hint="eastAsia" w:ascii="宋体" w:hAnsi="宋体" w:eastAsia="宋体"/>
          <w:bCs/>
          <w:kern w:val="0"/>
          <w:sz w:val="24"/>
          <w:szCs w:val="24"/>
        </w:rPr>
        <w:t>《五维突破——金牌班组长管理能力提升》</w:t>
      </w:r>
    </w:p>
    <w:p w14:paraId="6A896910">
      <w:pPr>
        <w:spacing w:line="480" w:lineRule="exact"/>
        <w:rPr>
          <w:rFonts w:hint="eastAsia" w:ascii="宋体" w:hAnsi="宋体" w:eastAsia="宋体"/>
          <w:kern w:val="0"/>
          <w:sz w:val="24"/>
          <w:szCs w:val="24"/>
        </w:rPr>
      </w:pPr>
      <w:r>
        <w:rPr>
          <w:rFonts w:hint="eastAsia" w:ascii="宋体" w:hAnsi="宋体" w:eastAsia="宋体"/>
          <w:kern w:val="0"/>
          <w:sz w:val="24"/>
          <w:szCs w:val="24"/>
        </w:rPr>
        <w:t>《全面质量管理（TQM）——从战略质量到产品质量落地推行实务》</w:t>
      </w:r>
    </w:p>
    <w:p w14:paraId="6601443C">
      <w:pPr>
        <w:spacing w:line="480" w:lineRule="exact"/>
        <w:rPr>
          <w:rFonts w:ascii="宋体" w:hAnsi="宋体" w:eastAsia="宋体"/>
          <w:bCs/>
          <w:kern w:val="0"/>
          <w:sz w:val="24"/>
          <w:szCs w:val="24"/>
        </w:rPr>
      </w:pPr>
      <w:r>
        <w:rPr>
          <w:rFonts w:hint="eastAsia" w:ascii="宋体" w:hAnsi="宋体" w:eastAsia="宋体"/>
          <w:bCs/>
          <w:kern w:val="0"/>
          <w:sz w:val="24"/>
          <w:szCs w:val="24"/>
        </w:rPr>
        <w:t>《TPM全员生产维护——从5S到0故障》</w:t>
      </w:r>
    </w:p>
    <w:p w14:paraId="53D12689">
      <w:pPr>
        <w:spacing w:line="480" w:lineRule="exact"/>
        <w:rPr>
          <w:rFonts w:ascii="宋体" w:hAnsi="宋体" w:eastAsia="宋体"/>
          <w:bCs/>
          <w:kern w:val="0"/>
          <w:sz w:val="24"/>
          <w:szCs w:val="24"/>
        </w:rPr>
      </w:pPr>
      <w:r>
        <w:rPr>
          <w:rFonts w:hint="eastAsia" w:ascii="宋体" w:hAnsi="宋体" w:eastAsia="宋体"/>
          <w:bCs/>
          <w:kern w:val="0"/>
          <w:sz w:val="24"/>
          <w:szCs w:val="24"/>
        </w:rPr>
        <w:t>《精益生产实战落地训练营》</w:t>
      </w:r>
    </w:p>
    <w:p w14:paraId="6FA78A92">
      <w:pPr>
        <w:spacing w:line="480" w:lineRule="exact"/>
        <w:rPr>
          <w:rFonts w:hint="eastAsia" w:ascii="宋体" w:hAnsi="宋体" w:eastAsia="宋体"/>
          <w:b/>
          <w:kern w:val="0"/>
          <w:sz w:val="24"/>
          <w:szCs w:val="24"/>
        </w:rPr>
      </w:pPr>
    </w:p>
    <w:p w14:paraId="19C02DF6">
      <w:pPr>
        <w:spacing w:line="480" w:lineRule="exact"/>
        <w:rPr>
          <w:rFonts w:hint="eastAsia" w:ascii="宋体" w:hAnsi="宋体" w:eastAsia="宋体"/>
          <w:b/>
          <w:kern w:val="0"/>
          <w:sz w:val="24"/>
          <w:szCs w:val="24"/>
        </w:rPr>
      </w:pPr>
      <w:r>
        <w:rPr>
          <w:rFonts w:hint="eastAsia" w:ascii="宋体" w:hAnsi="宋体" w:eastAsia="宋体"/>
          <w:b/>
          <w:kern w:val="0"/>
          <w:sz w:val="24"/>
          <w:szCs w:val="24"/>
        </w:rPr>
        <w:t>授课风格：</w:t>
      </w:r>
    </w:p>
    <w:p w14:paraId="7CB0082F">
      <w:pPr>
        <w:spacing w:line="480" w:lineRule="exact"/>
        <w:rPr>
          <w:rFonts w:hint="eastAsia" w:ascii="宋体" w:hAnsi="宋体" w:eastAsia="宋体"/>
          <w:b/>
          <w:kern w:val="0"/>
          <w:sz w:val="24"/>
          <w:szCs w:val="24"/>
        </w:rPr>
      </w:pPr>
      <w:r>
        <w:rPr>
          <w:rFonts w:hint="eastAsia" w:ascii="宋体" w:hAnsi="宋体" w:eastAsia="宋体"/>
          <w:b/>
          <w:kern w:val="0"/>
          <w:sz w:val="24"/>
          <w:szCs w:val="24"/>
        </w:rPr>
        <w:t>理践双驱赋能：</w:t>
      </w:r>
      <w:r>
        <w:rPr>
          <w:rFonts w:hint="eastAsia" w:ascii="宋体" w:hAnsi="宋体" w:eastAsia="宋体"/>
          <w:bCs/>
          <w:kern w:val="0"/>
          <w:sz w:val="24"/>
          <w:szCs w:val="24"/>
        </w:rPr>
        <w:t>以系统性学术理论为根基，构建完整知识框架，同时深度融入制造业一线实战案例与经验总结，打破“理论空泛化、实践碎片化”的行业培训痛点，让学员既能吃透底层逻辑，又能掌握可直接落地的应用方法论，实现“知其然更知其所以然”。</w:t>
      </w:r>
    </w:p>
    <w:p w14:paraId="083700C4">
      <w:pPr>
        <w:spacing w:line="480" w:lineRule="exact"/>
        <w:rPr>
          <w:rFonts w:hint="eastAsia" w:ascii="宋体" w:hAnsi="宋体" w:eastAsia="宋体"/>
          <w:b/>
          <w:kern w:val="0"/>
          <w:sz w:val="24"/>
          <w:szCs w:val="24"/>
        </w:rPr>
      </w:pPr>
      <w:r>
        <w:rPr>
          <w:rFonts w:hint="eastAsia" w:ascii="宋体" w:hAnsi="宋体" w:eastAsia="宋体"/>
          <w:b/>
          <w:kern w:val="0"/>
          <w:sz w:val="24"/>
          <w:szCs w:val="24"/>
        </w:rPr>
        <w:t>精准分层赋学：</w:t>
      </w:r>
      <w:r>
        <w:rPr>
          <w:rFonts w:hint="eastAsia" w:ascii="宋体" w:hAnsi="宋体" w:eastAsia="宋体"/>
          <w:bCs/>
          <w:kern w:val="0"/>
          <w:sz w:val="24"/>
          <w:szCs w:val="24"/>
        </w:rPr>
        <w:t>摒弃“一刀切”教学模式，课前通过定向调研摸清学员岗位背景、能力短板与学习目标；课中依据互动反馈动态调整教学节奏与内容深度，为新人学员侧重基础夯实、为资深学员侧重难点突破，课后为学员打造全周期定制化学习支持体系。</w:t>
      </w:r>
    </w:p>
    <w:p w14:paraId="41252543">
      <w:pPr>
        <w:spacing w:line="480" w:lineRule="exact"/>
        <w:rPr>
          <w:rFonts w:hint="eastAsia" w:ascii="宋体" w:hAnsi="宋体" w:eastAsia="宋体"/>
          <w:bCs/>
          <w:kern w:val="0"/>
          <w:sz w:val="24"/>
          <w:szCs w:val="24"/>
        </w:rPr>
      </w:pPr>
      <w:r>
        <w:rPr>
          <w:rFonts w:hint="eastAsia" w:ascii="宋体" w:hAnsi="宋体" w:eastAsia="宋体"/>
          <w:b/>
          <w:kern w:val="0"/>
          <w:sz w:val="24"/>
          <w:szCs w:val="24"/>
        </w:rPr>
        <w:t>多维场景教学：</w:t>
      </w:r>
      <w:r>
        <w:rPr>
          <w:rFonts w:hint="eastAsia" w:ascii="宋体" w:hAnsi="宋体" w:eastAsia="宋体"/>
          <w:bCs/>
          <w:kern w:val="0"/>
          <w:sz w:val="24"/>
          <w:szCs w:val="24"/>
        </w:rPr>
        <w:t>创新采用“理论筑基-多行业案例解构-沉浸式模拟实操”三维教学模型。不仅拆解汽车、电子等领域的标杆实践，更通过流程模拟等方式，引导学员迁移跨行业经验，培养“跳出单一领域解决复杂问题”的思维与实操能力。</w:t>
      </w:r>
    </w:p>
    <w:p w14:paraId="49134ECF">
      <w:pPr>
        <w:spacing w:line="480" w:lineRule="exact"/>
        <w:rPr>
          <w:rFonts w:hint="eastAsia" w:ascii="宋体" w:hAnsi="宋体" w:eastAsia="宋体"/>
          <w:b/>
          <w:kern w:val="0"/>
          <w:sz w:val="24"/>
          <w:szCs w:val="24"/>
        </w:rPr>
      </w:pPr>
      <w:r>
        <w:rPr>
          <w:rFonts w:hint="eastAsia" w:ascii="宋体" w:hAnsi="宋体" w:eastAsia="宋体"/>
          <w:b/>
          <w:kern w:val="0"/>
          <w:sz w:val="24"/>
          <w:szCs w:val="24"/>
        </w:rPr>
        <w:t>成果导向闭环：</w:t>
      </w:r>
      <w:r>
        <w:rPr>
          <w:rFonts w:hint="eastAsia" w:ascii="宋体" w:hAnsi="宋体" w:eastAsia="宋体"/>
          <w:bCs/>
          <w:kern w:val="0"/>
          <w:sz w:val="24"/>
          <w:szCs w:val="24"/>
        </w:rPr>
        <w:t>围绕企业核心痛点设计“学-练-用-优”全链条学习路径——课中以高频互动强化技能训练；课后通过企业参访、定制化行动计划，推动知识从“课堂吸收”转化为“岗位落地”，最终实现学员能力提升与企业实际问题解决的双向价值。</w:t>
      </w:r>
    </w:p>
    <w:p w14:paraId="04C34261">
      <w:pPr>
        <w:spacing w:line="480" w:lineRule="exact"/>
        <w:rPr>
          <w:rFonts w:hint="eastAsia" w:ascii="宋体" w:hAnsi="宋体" w:eastAsia="宋体"/>
          <w:b/>
          <w:kern w:val="0"/>
          <w:sz w:val="24"/>
          <w:szCs w:val="24"/>
        </w:rPr>
      </w:pPr>
    </w:p>
    <w:p w14:paraId="51D63B49">
      <w:pPr>
        <w:spacing w:line="480" w:lineRule="exact"/>
        <w:rPr>
          <w:rFonts w:hint="eastAsia" w:ascii="宋体" w:hAnsi="宋体" w:eastAsia="宋体"/>
          <w:b/>
          <w:kern w:val="0"/>
          <w:sz w:val="24"/>
          <w:szCs w:val="24"/>
        </w:rPr>
      </w:pPr>
      <w:r>
        <w:rPr>
          <w:rFonts w:hint="eastAsia" w:ascii="宋体" w:hAnsi="宋体" w:eastAsia="宋体"/>
          <w:b/>
          <w:kern w:val="0"/>
          <w:sz w:val="24"/>
          <w:szCs w:val="24"/>
        </w:rPr>
        <w:t>部分服务客户：</w:t>
      </w:r>
    </w:p>
    <w:p w14:paraId="401F618B">
      <w:pPr>
        <w:spacing w:line="480" w:lineRule="exact"/>
        <w:rPr>
          <w:rFonts w:hint="eastAsia" w:ascii="宋体" w:hAnsi="宋体" w:eastAsia="宋体"/>
          <w:b/>
          <w:kern w:val="0"/>
          <w:sz w:val="24"/>
          <w:szCs w:val="24"/>
        </w:rPr>
      </w:pPr>
      <w:r>
        <w:rPr>
          <w:rFonts w:hint="eastAsia" w:ascii="宋体" w:hAnsi="宋体" w:eastAsia="宋体"/>
          <w:bCs/>
          <w:kern w:val="0"/>
          <w:sz w:val="24"/>
          <w:szCs w:val="24"/>
        </w:rPr>
        <w:t>德国汉高集团东莞工厂、美国美泰集团东莞工厂、香港华清、雅瑞集团、诚溢光学、孟加拉Queen south集团、盐化集团、巨龙集团，青山集团子公司、盛威国际集团</w:t>
      </w:r>
      <w:r>
        <w:rPr>
          <w:rFonts w:hint="eastAsia" w:ascii="宋体" w:hAnsi="宋体" w:eastAsia="宋体"/>
          <w:bCs/>
          <w:kern w:val="0"/>
          <w:sz w:val="24"/>
          <w:szCs w:val="24"/>
          <w:lang w:eastAsia="zh-CN"/>
        </w:rPr>
        <w:t>、</w:t>
      </w:r>
      <w:r>
        <w:rPr>
          <w:rFonts w:hint="eastAsia" w:ascii="宋体" w:hAnsi="宋体" w:eastAsia="宋体"/>
          <w:bCs/>
          <w:kern w:val="0"/>
          <w:sz w:val="24"/>
          <w:szCs w:val="24"/>
        </w:rPr>
        <w:t>嘉瑞福家具、</w:t>
      </w:r>
      <w:r>
        <w:rPr>
          <w:rFonts w:hint="eastAsia" w:ascii="宋体" w:hAnsi="宋体" w:eastAsia="宋体"/>
          <w:bCs/>
          <w:kern w:val="0"/>
          <w:sz w:val="24"/>
          <w:szCs w:val="24"/>
          <w:lang w:eastAsia="zh-CN"/>
        </w:rPr>
        <w:t>施罗华集团、</w:t>
      </w:r>
      <w:r>
        <w:rPr>
          <w:rFonts w:hint="eastAsia" w:ascii="宋体" w:hAnsi="宋体" w:eastAsia="宋体"/>
          <w:bCs/>
          <w:kern w:val="0"/>
          <w:sz w:val="24"/>
          <w:szCs w:val="24"/>
        </w:rPr>
        <w:t>品超包装、巴腾动力</w:t>
      </w:r>
      <w:r>
        <w:rPr>
          <w:rFonts w:hint="eastAsia" w:ascii="宋体" w:hAnsi="宋体" w:eastAsia="宋体"/>
          <w:bCs/>
          <w:kern w:val="0"/>
          <w:sz w:val="24"/>
          <w:szCs w:val="24"/>
          <w:lang w:eastAsia="zh-CN"/>
        </w:rPr>
        <w:t>、久恒光电、聚喷电子科技、宇骏包装、新德宝机械、龙腾照明、双汇电力、青瑞管道、顺豪电器、伟望汽配、度昂科技、狮王皮丹鞋业、道丰鞋业、通国包装、湖南民间艺人渔具、天纳福汽车部件、萨博汽车部件……</w:t>
      </w:r>
    </w:p>
    <w:p w14:paraId="4EB65952">
      <w:pPr>
        <w:spacing w:line="480" w:lineRule="exact"/>
        <w:rPr>
          <w:rFonts w:hint="eastAsia" w:ascii="宋体" w:hAnsi="宋体" w:eastAsia="宋体"/>
          <w:b/>
          <w:kern w:val="0"/>
          <w:sz w:val="24"/>
          <w:szCs w:val="24"/>
        </w:rPr>
      </w:pPr>
    </w:p>
    <w:p w14:paraId="0EEDEC9D">
      <w:pPr>
        <w:spacing w:line="480" w:lineRule="exact"/>
        <w:rPr>
          <w:rFonts w:hint="eastAsia" w:ascii="宋体" w:hAnsi="宋体" w:eastAsia="宋体"/>
          <w:b/>
          <w:kern w:val="0"/>
          <w:sz w:val="24"/>
          <w:szCs w:val="24"/>
        </w:rPr>
      </w:pPr>
      <w:r>
        <w:rPr>
          <w:rFonts w:hint="eastAsia" w:ascii="宋体" w:hAnsi="宋体" w:eastAsia="宋体"/>
          <w:b/>
          <w:kern w:val="0"/>
          <w:sz w:val="24"/>
          <w:szCs w:val="24"/>
        </w:rPr>
        <w:t>部分客户评价：</w:t>
      </w:r>
    </w:p>
    <w:p w14:paraId="589AF1B7">
      <w:pPr>
        <w:spacing w:line="480" w:lineRule="exact"/>
        <w:rPr>
          <w:rFonts w:hint="eastAsia" w:ascii="宋体" w:hAnsi="宋体" w:eastAsia="宋体"/>
          <w:bCs/>
          <w:kern w:val="0"/>
          <w:sz w:val="24"/>
          <w:szCs w:val="24"/>
        </w:rPr>
      </w:pPr>
      <w:r>
        <w:rPr>
          <w:rFonts w:hint="eastAsia" w:ascii="宋体" w:hAnsi="宋体" w:eastAsia="宋体"/>
          <w:bCs/>
          <w:kern w:val="0"/>
          <w:sz w:val="24"/>
          <w:szCs w:val="24"/>
        </w:rPr>
        <w:t>在转型遇到瓶颈时，有幸邀请到霍老师提供指导。霍老师不仅带来了系统的设备智能化管理理念，还结合我们企业的实际生产场景，手把手教团队优化设备运行流程。经过半年的落地实践，生产线的设备综合效率提升了22%，产品不良率下降8%，原材料损耗减少10%，极大增强了我们在行业中的竞争力。</w:t>
      </w:r>
    </w:p>
    <w:p w14:paraId="4B37D98A">
      <w:pPr>
        <w:spacing w:line="480" w:lineRule="exact"/>
        <w:jc w:val="right"/>
        <w:rPr>
          <w:rFonts w:hint="eastAsia" w:ascii="宋体" w:hAnsi="宋体" w:eastAsia="宋体"/>
          <w:b/>
          <w:kern w:val="0"/>
          <w:sz w:val="24"/>
          <w:szCs w:val="24"/>
        </w:rPr>
      </w:pPr>
      <w:r>
        <w:rPr>
          <w:rFonts w:hint="eastAsia" w:ascii="宋体" w:hAnsi="宋体" w:eastAsia="宋体"/>
          <w:b/>
          <w:kern w:val="0"/>
          <w:sz w:val="24"/>
          <w:szCs w:val="24"/>
        </w:rPr>
        <w:t>——雅瑞集团 副总经理 杜总</w:t>
      </w:r>
    </w:p>
    <w:p w14:paraId="38A157BA">
      <w:pPr>
        <w:spacing w:line="480" w:lineRule="exact"/>
        <w:rPr>
          <w:rFonts w:hint="eastAsia" w:ascii="宋体" w:hAnsi="宋体" w:eastAsia="宋体"/>
          <w:bCs/>
          <w:kern w:val="0"/>
          <w:sz w:val="24"/>
          <w:szCs w:val="24"/>
        </w:rPr>
      </w:pPr>
      <w:r>
        <w:rPr>
          <w:rFonts w:hint="eastAsia" w:ascii="宋体" w:hAnsi="宋体" w:eastAsia="宋体"/>
          <w:bCs/>
          <w:kern w:val="0"/>
          <w:sz w:val="24"/>
          <w:szCs w:val="24"/>
        </w:rPr>
        <w:t>作为一家制造企业，我们一直受限于设备故障频发、生产进度不稳定的问题。霍老师的到来彻底改变了这一局面，他凭借丰富的行业设备管理实战经验，为我们量身打造了设备预防性维护体系，并毫无保留地向员工传授故障诊断与排除技巧。通过一段时间的学习和应用，设备突发故障停机时间缩短了65%，生产计划达成率从原来的80%提升至98%，为公司按时交付订单提供了有力保障。衷心感谢霍老师的辛勤付出！</w:t>
      </w:r>
    </w:p>
    <w:p w14:paraId="20AF572F">
      <w:pPr>
        <w:spacing w:line="480" w:lineRule="exact"/>
        <w:jc w:val="right"/>
        <w:rPr>
          <w:rFonts w:hint="eastAsia" w:ascii="宋体" w:hAnsi="宋体" w:eastAsia="宋体"/>
          <w:b/>
          <w:kern w:val="0"/>
          <w:sz w:val="24"/>
          <w:szCs w:val="24"/>
        </w:rPr>
      </w:pPr>
      <w:r>
        <w:rPr>
          <w:rFonts w:hint="eastAsia" w:ascii="宋体" w:hAnsi="宋体" w:eastAsia="宋体"/>
          <w:b/>
          <w:kern w:val="0"/>
          <w:sz w:val="24"/>
          <w:szCs w:val="24"/>
        </w:rPr>
        <w:t>——巴腾动力 总经理 赵总</w:t>
      </w:r>
    </w:p>
    <w:p w14:paraId="01B06D09">
      <w:pPr>
        <w:spacing w:line="480" w:lineRule="exact"/>
        <w:rPr>
          <w:rFonts w:hint="eastAsia" w:ascii="宋体" w:hAnsi="宋体" w:eastAsia="宋体"/>
          <w:bCs/>
          <w:kern w:val="0"/>
          <w:sz w:val="24"/>
          <w:szCs w:val="24"/>
        </w:rPr>
      </w:pPr>
      <w:r>
        <w:rPr>
          <w:rFonts w:hint="eastAsia" w:ascii="宋体" w:hAnsi="宋体" w:eastAsia="宋体"/>
          <w:bCs/>
          <w:kern w:val="0"/>
          <w:sz w:val="24"/>
          <w:szCs w:val="24"/>
        </w:rPr>
        <w:t>在竞争日益激烈的当下，降本增效成为我们企业生存和发展的核心任务。霍老师的精益生产与成本管控课程，为我们指明了方向。他通过大量实际案例，详细讲解了成本管控的方法和技巧，还深入车间现场，指导员工优化生产流程。经过三个月的整改，公司生产成本降低了7%，人均产值提升了12%，市场竞争力显著增强。</w:t>
      </w:r>
    </w:p>
    <w:p w14:paraId="6853A645">
      <w:pPr>
        <w:spacing w:line="480" w:lineRule="exact"/>
        <w:jc w:val="right"/>
        <w:rPr>
          <w:rFonts w:hint="eastAsia" w:ascii="宋体" w:hAnsi="宋体" w:eastAsia="宋体"/>
          <w:b/>
          <w:kern w:val="0"/>
          <w:sz w:val="24"/>
          <w:szCs w:val="24"/>
        </w:rPr>
      </w:pPr>
      <w:r>
        <w:rPr>
          <w:rFonts w:hint="eastAsia" w:ascii="宋体" w:hAnsi="宋体" w:eastAsia="宋体"/>
          <w:b/>
          <w:kern w:val="0"/>
          <w:sz w:val="24"/>
          <w:szCs w:val="24"/>
        </w:rPr>
        <w:t>——青瑞管道 总经理 冀总</w:t>
      </w:r>
    </w:p>
    <w:p w14:paraId="6C1E8127">
      <w:pPr>
        <w:spacing w:line="480" w:lineRule="exact"/>
        <w:rPr>
          <w:rFonts w:hint="eastAsia" w:ascii="宋体" w:hAnsi="宋体" w:eastAsia="宋体"/>
          <w:bCs/>
          <w:kern w:val="0"/>
          <w:sz w:val="24"/>
          <w:szCs w:val="24"/>
        </w:rPr>
      </w:pPr>
      <w:r>
        <w:rPr>
          <w:rFonts w:hint="eastAsia" w:ascii="宋体" w:hAnsi="宋体" w:eastAsia="宋体"/>
          <w:bCs/>
          <w:kern w:val="0"/>
          <w:sz w:val="24"/>
          <w:szCs w:val="24"/>
        </w:rPr>
        <w:t>随着业务量的不断增长，设备管理压力越来越大。幸运的是，我们遇到了霍老师，他针对物流仓储设备的特点，为我们设计了一套科学的设备管理方案，并对员工进行了系统的培训。霍老师授课风格生动易懂，注重理论与实践相结合，让员工快速掌握了设备操作、维护和保养的技能。在老师的帮助下，设备故障率下降了40%，仓储作业效率提升了18%，为公司业务的快速发展提供了坚实支撑。在此，向霍老师表示衷心的感谢！</w:t>
      </w:r>
    </w:p>
    <w:p w14:paraId="694DAF13">
      <w:pPr>
        <w:spacing w:line="480" w:lineRule="exact"/>
        <w:jc w:val="right"/>
        <w:rPr>
          <w:rFonts w:hint="eastAsia" w:ascii="宋体" w:hAnsi="宋体" w:eastAsia="宋体"/>
          <w:b/>
          <w:kern w:val="0"/>
          <w:sz w:val="24"/>
          <w:szCs w:val="24"/>
        </w:rPr>
      </w:pPr>
      <w:r>
        <w:rPr>
          <w:rFonts w:hint="eastAsia" w:ascii="宋体" w:hAnsi="宋体" w:eastAsia="宋体"/>
          <w:b/>
          <w:kern w:val="0"/>
          <w:sz w:val="24"/>
          <w:szCs w:val="24"/>
        </w:rPr>
        <w:t>——浙江顺豪电器 朱总</w:t>
      </w:r>
    </w:p>
    <w:p w14:paraId="75A55AE0">
      <w:pPr>
        <w:spacing w:line="480" w:lineRule="exact"/>
        <w:rPr>
          <w:rFonts w:ascii="宋体" w:hAnsi="宋体" w:eastAsia="宋体"/>
          <w:b/>
          <w:kern w:val="0"/>
          <w:sz w:val="24"/>
          <w:szCs w:val="24"/>
        </w:rPr>
      </w:pPr>
    </w:p>
    <w:p w14:paraId="64425A1F">
      <w:pPr>
        <w:spacing w:line="480" w:lineRule="exact"/>
        <w:rPr>
          <w:rFonts w:hint="eastAsia" w:ascii="宋体" w:hAnsi="宋体" w:eastAsia="宋体"/>
          <w:b/>
          <w:kern w:val="0"/>
          <w:sz w:val="24"/>
          <w:szCs w:val="24"/>
          <w:highlight w:val="yellow"/>
        </w:rPr>
      </w:pPr>
      <w:r>
        <w:rPr>
          <w:rFonts w:hint="eastAsia" w:ascii="宋体" w:hAnsi="宋体" w:eastAsia="宋体"/>
          <w:b/>
          <w:kern w:val="0"/>
          <w:sz w:val="24"/>
          <w:szCs w:val="24"/>
        </w:rPr>
        <w:t>部分咨询/授课照片：</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4"/>
        <w:gridCol w:w="4814"/>
      </w:tblGrid>
      <w:tr w14:paraId="76A43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4" w:type="dxa"/>
            <w:vAlign w:val="center"/>
          </w:tcPr>
          <w:p w14:paraId="60883884">
            <w:pPr>
              <w:jc w:val="center"/>
              <w:rPr>
                <w:rFonts w:hint="eastAsia" w:ascii="宋体" w:hAnsi="宋体" w:eastAsia="宋体"/>
                <w:b/>
                <w:kern w:val="0"/>
                <w:szCs w:val="21"/>
              </w:rPr>
            </w:pPr>
            <w:r>
              <w:rPr>
                <w:szCs w:val="21"/>
              </w:rPr>
              <w:drawing>
                <wp:inline distT="0" distB="0" distL="0" distR="0">
                  <wp:extent cx="2760980" cy="2019300"/>
                  <wp:effectExtent l="0" t="0" r="1270" b="0"/>
                  <wp:docPr id="36"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5"/>
                          <pic:cNvPicPr>
                            <a:picLocks noChangeAspect="1"/>
                          </pic:cNvPicPr>
                        </pic:nvPicPr>
                        <pic:blipFill>
                          <a:blip r:embed="rId5"/>
                          <a:stretch>
                            <a:fillRect/>
                          </a:stretch>
                        </pic:blipFill>
                        <pic:spPr>
                          <a:xfrm>
                            <a:off x="0" y="0"/>
                            <a:ext cx="2761200" cy="2019600"/>
                          </a:xfrm>
                          <a:prstGeom prst="rect">
                            <a:avLst/>
                          </a:prstGeom>
                        </pic:spPr>
                      </pic:pic>
                    </a:graphicData>
                  </a:graphic>
                </wp:inline>
              </w:drawing>
            </w:r>
          </w:p>
        </w:tc>
        <w:tc>
          <w:tcPr>
            <w:tcW w:w="4814" w:type="dxa"/>
            <w:vAlign w:val="center"/>
          </w:tcPr>
          <w:p w14:paraId="64ED1750">
            <w:pPr>
              <w:jc w:val="center"/>
              <w:rPr>
                <w:rFonts w:hint="eastAsia" w:ascii="宋体" w:hAnsi="宋体" w:eastAsia="宋体"/>
                <w:b/>
                <w:kern w:val="0"/>
                <w:szCs w:val="21"/>
              </w:rPr>
            </w:pPr>
            <w:r>
              <w:rPr>
                <w:rFonts w:ascii="宋体" w:hAnsi="宋体" w:eastAsia="宋体"/>
                <w:b/>
                <w:kern w:val="0"/>
                <w:szCs w:val="21"/>
              </w:rPr>
              <w:drawing>
                <wp:inline distT="0" distB="0" distL="0" distR="0">
                  <wp:extent cx="2760980" cy="2019300"/>
                  <wp:effectExtent l="0" t="0" r="1270" b="0"/>
                  <wp:docPr id="14325379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537949" name="图片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r>
      <w:tr w14:paraId="02D3A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4" w:type="dxa"/>
            <w:vAlign w:val="center"/>
          </w:tcPr>
          <w:p w14:paraId="1623852F">
            <w:pPr>
              <w:spacing w:line="360" w:lineRule="exact"/>
              <w:jc w:val="center"/>
              <w:rPr>
                <w:rFonts w:hint="eastAsia" w:ascii="宋体" w:hAnsi="宋体" w:eastAsia="宋体"/>
                <w:bCs/>
                <w:kern w:val="0"/>
                <w:szCs w:val="21"/>
              </w:rPr>
            </w:pPr>
            <w:r>
              <w:rPr>
                <w:rFonts w:hint="eastAsia" w:ascii="宋体" w:hAnsi="宋体" w:eastAsia="宋体"/>
                <w:bCs/>
                <w:kern w:val="0"/>
                <w:szCs w:val="21"/>
              </w:rPr>
              <w:t>珠海考普瑞西</w:t>
            </w:r>
          </w:p>
          <w:p w14:paraId="6BB92487">
            <w:pPr>
              <w:spacing w:line="360" w:lineRule="exact"/>
              <w:jc w:val="center"/>
              <w:rPr>
                <w:rFonts w:hint="eastAsia" w:ascii="宋体" w:hAnsi="宋体" w:eastAsia="宋体"/>
                <w:b/>
                <w:kern w:val="0"/>
                <w:szCs w:val="21"/>
              </w:rPr>
            </w:pPr>
            <w:r>
              <w:rPr>
                <w:rFonts w:hint="eastAsia" w:ascii="宋体" w:hAnsi="宋体" w:eastAsia="宋体"/>
                <w:bCs/>
                <w:kern w:val="0"/>
                <w:szCs w:val="21"/>
              </w:rPr>
              <w:t>《精益管理体系搭建》</w:t>
            </w:r>
          </w:p>
        </w:tc>
        <w:tc>
          <w:tcPr>
            <w:tcW w:w="4814" w:type="dxa"/>
            <w:vAlign w:val="center"/>
          </w:tcPr>
          <w:p w14:paraId="5EC99193">
            <w:pPr>
              <w:spacing w:line="360" w:lineRule="exact"/>
              <w:jc w:val="center"/>
              <w:rPr>
                <w:rFonts w:ascii="宋体" w:hAnsi="宋体" w:eastAsia="宋体"/>
                <w:bCs/>
                <w:kern w:val="0"/>
                <w:szCs w:val="21"/>
              </w:rPr>
            </w:pPr>
            <w:r>
              <w:rPr>
                <w:rFonts w:hint="eastAsia" w:ascii="宋体" w:hAnsi="宋体" w:eastAsia="宋体"/>
                <w:bCs/>
                <w:kern w:val="0"/>
                <w:szCs w:val="21"/>
              </w:rPr>
              <w:t>江西盐化集团</w:t>
            </w:r>
          </w:p>
          <w:p w14:paraId="38BB41AF">
            <w:pPr>
              <w:spacing w:line="360" w:lineRule="exact"/>
              <w:jc w:val="center"/>
              <w:rPr>
                <w:rFonts w:hint="eastAsia" w:ascii="宋体" w:hAnsi="宋体" w:eastAsia="宋体"/>
                <w:bCs/>
                <w:kern w:val="0"/>
                <w:szCs w:val="21"/>
              </w:rPr>
            </w:pPr>
            <w:r>
              <w:rPr>
                <w:rFonts w:hint="eastAsia" w:ascii="宋体" w:hAnsi="宋体" w:eastAsia="宋体"/>
                <w:bCs/>
                <w:kern w:val="0"/>
                <w:szCs w:val="21"/>
              </w:rPr>
              <w:t>《精益运营生产管理》</w:t>
            </w:r>
          </w:p>
        </w:tc>
      </w:tr>
      <w:tr w14:paraId="1462C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4" w:type="dxa"/>
            <w:vAlign w:val="center"/>
          </w:tcPr>
          <w:p w14:paraId="0DA529E0">
            <w:pPr>
              <w:jc w:val="center"/>
              <w:rPr>
                <w:rFonts w:hint="eastAsia" w:ascii="宋体" w:hAnsi="宋体" w:eastAsia="宋体"/>
                <w:b/>
                <w:kern w:val="0"/>
                <w:szCs w:val="21"/>
              </w:rPr>
            </w:pPr>
            <w:r>
              <w:rPr>
                <w:rFonts w:ascii="宋体" w:hAnsi="宋体" w:eastAsia="宋体"/>
                <w:b/>
                <w:kern w:val="0"/>
                <w:szCs w:val="21"/>
              </w:rPr>
              <w:drawing>
                <wp:inline distT="0" distB="0" distL="0" distR="0">
                  <wp:extent cx="2760980" cy="2019300"/>
                  <wp:effectExtent l="0" t="0" r="1270" b="0"/>
                  <wp:docPr id="174849018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490182" name="图片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c>
          <w:tcPr>
            <w:tcW w:w="4814" w:type="dxa"/>
            <w:vAlign w:val="center"/>
          </w:tcPr>
          <w:p w14:paraId="14441EEB">
            <w:pPr>
              <w:jc w:val="center"/>
              <w:rPr>
                <w:rFonts w:hint="eastAsia" w:ascii="宋体" w:hAnsi="宋体" w:eastAsia="宋体"/>
                <w:b/>
                <w:kern w:val="0"/>
                <w:szCs w:val="21"/>
              </w:rPr>
            </w:pPr>
            <w:r>
              <w:rPr>
                <w:rFonts w:ascii="宋体" w:hAnsi="宋体" w:eastAsia="宋体"/>
                <w:b/>
                <w:kern w:val="0"/>
                <w:szCs w:val="21"/>
              </w:rPr>
              <w:drawing>
                <wp:inline distT="0" distB="0" distL="0" distR="0">
                  <wp:extent cx="2760980" cy="2019300"/>
                  <wp:effectExtent l="0" t="0" r="1270" b="0"/>
                  <wp:docPr id="110706444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064449" name="图片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r>
      <w:tr w14:paraId="5DDA8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14" w:type="dxa"/>
            <w:vAlign w:val="center"/>
          </w:tcPr>
          <w:p w14:paraId="7EF5AC29">
            <w:pPr>
              <w:spacing w:line="360" w:lineRule="exact"/>
              <w:jc w:val="center"/>
              <w:rPr>
                <w:rFonts w:ascii="宋体" w:hAnsi="宋体" w:eastAsia="宋体"/>
                <w:bCs/>
                <w:kern w:val="0"/>
                <w:szCs w:val="21"/>
              </w:rPr>
            </w:pPr>
            <w:r>
              <w:rPr>
                <w:rFonts w:hint="eastAsia" w:ascii="宋体" w:hAnsi="宋体" w:eastAsia="宋体"/>
                <w:bCs/>
                <w:kern w:val="0"/>
                <w:szCs w:val="21"/>
              </w:rPr>
              <w:t>株洲高薪区</w:t>
            </w:r>
          </w:p>
          <w:p w14:paraId="2D2F6F4D">
            <w:pPr>
              <w:spacing w:line="360" w:lineRule="exact"/>
              <w:jc w:val="center"/>
              <w:rPr>
                <w:rFonts w:hint="eastAsia" w:ascii="宋体" w:hAnsi="宋体" w:eastAsia="宋体"/>
                <w:bCs/>
                <w:kern w:val="0"/>
                <w:szCs w:val="21"/>
              </w:rPr>
            </w:pPr>
            <w:r>
              <w:rPr>
                <w:rFonts w:hint="eastAsia" w:ascii="宋体" w:hAnsi="宋体" w:eastAsia="宋体"/>
                <w:bCs/>
                <w:kern w:val="0"/>
                <w:szCs w:val="21"/>
              </w:rPr>
              <w:t>《一线生产管理培训-金牌班组长战训营》</w:t>
            </w:r>
          </w:p>
        </w:tc>
        <w:tc>
          <w:tcPr>
            <w:tcW w:w="4814" w:type="dxa"/>
            <w:vAlign w:val="center"/>
          </w:tcPr>
          <w:p w14:paraId="10E674CB">
            <w:pPr>
              <w:spacing w:line="360" w:lineRule="exact"/>
              <w:jc w:val="center"/>
              <w:rPr>
                <w:rFonts w:ascii="宋体" w:hAnsi="宋体" w:eastAsia="宋体"/>
                <w:bCs/>
                <w:kern w:val="0"/>
                <w:szCs w:val="21"/>
              </w:rPr>
            </w:pPr>
            <w:r>
              <w:rPr>
                <w:rFonts w:hint="eastAsia" w:ascii="宋体" w:hAnsi="宋体" w:eastAsia="宋体"/>
                <w:bCs/>
                <w:kern w:val="0"/>
                <w:szCs w:val="21"/>
              </w:rPr>
              <w:t>雅瑞集团</w:t>
            </w:r>
          </w:p>
          <w:p w14:paraId="0FCD9BB1">
            <w:pPr>
              <w:spacing w:line="360" w:lineRule="exact"/>
              <w:jc w:val="center"/>
              <w:rPr>
                <w:rFonts w:hint="eastAsia" w:ascii="宋体" w:hAnsi="宋体" w:eastAsia="宋体"/>
                <w:bCs/>
                <w:kern w:val="0"/>
                <w:szCs w:val="21"/>
              </w:rPr>
            </w:pPr>
            <w:r>
              <w:rPr>
                <w:rFonts w:hint="eastAsia" w:ascii="宋体" w:hAnsi="宋体" w:eastAsia="宋体"/>
                <w:bCs/>
                <w:kern w:val="0"/>
                <w:szCs w:val="21"/>
              </w:rPr>
              <w:t>《中基层管理能力提升》</w:t>
            </w:r>
          </w:p>
        </w:tc>
      </w:tr>
    </w:tbl>
    <w:p w14:paraId="23EEE9C5">
      <w:pPr>
        <w:spacing w:line="480" w:lineRule="exact"/>
        <w:rPr>
          <w:rFonts w:hint="eastAsia" w:ascii="宋体" w:hAnsi="宋体" w:eastAsia="宋体"/>
          <w:b/>
          <w:kern w:val="0"/>
          <w:sz w:val="24"/>
          <w:szCs w:val="24"/>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Helvetica">
    <w:altName w:val="Arial"/>
    <w:panose1 w:val="020B0604020202020204"/>
    <w:charset w:val="00"/>
    <w:family w:val="swiss"/>
    <w:pitch w:val="default"/>
    <w:sig w:usb0="00000000" w:usb1="00000000" w:usb2="00000000" w:usb3="00000000" w:csb0="00000001" w:csb1="00000000"/>
  </w:font>
  <w:font w:name="Segoe UI">
    <w:panose1 w:val="020B0502040204020203"/>
    <w:charset w:val="00"/>
    <w:family w:val="auto"/>
    <w:pitch w:val="default"/>
    <w:sig w:usb0="E4002EFF" w:usb1="C000E47F" w:usb2="00000009" w:usb3="00000000" w:csb0="200001FF" w:csb1="00000000"/>
  </w:font>
  <w:font w:name="Cambria Math">
    <w:panose1 w:val="02040503050406030204"/>
    <w:charset w:val="00"/>
    <w:family w:val="roman"/>
    <w:pitch w:val="default"/>
    <w:sig w:usb0="E00006FF" w:usb1="420024FF" w:usb2="02000000" w:usb3="00000000" w:csb0="2000019F" w:csb1="00000000"/>
  </w:font>
  <w:font w:name="MS PGothic">
    <w:panose1 w:val="020B0600070205080204"/>
    <w:charset w:val="80"/>
    <w:family w:val="auto"/>
    <w:pitch w:val="default"/>
    <w:sig w:usb0="E00002FF" w:usb1="6AC7FDFB" w:usb2="08000012" w:usb3="00000000" w:csb0="4002009F" w:csb1="DFD7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710"/>
    <w:rsid w:val="00011CC9"/>
    <w:rsid w:val="0002231B"/>
    <w:rsid w:val="00062D97"/>
    <w:rsid w:val="00066203"/>
    <w:rsid w:val="0008677F"/>
    <w:rsid w:val="00094776"/>
    <w:rsid w:val="00094B96"/>
    <w:rsid w:val="00177A34"/>
    <w:rsid w:val="001D1F32"/>
    <w:rsid w:val="001E4990"/>
    <w:rsid w:val="001F6C78"/>
    <w:rsid w:val="0021552D"/>
    <w:rsid w:val="00217FA6"/>
    <w:rsid w:val="00240D08"/>
    <w:rsid w:val="0025159B"/>
    <w:rsid w:val="002A2BF8"/>
    <w:rsid w:val="002B31EF"/>
    <w:rsid w:val="002C1EC4"/>
    <w:rsid w:val="002E1354"/>
    <w:rsid w:val="00367EB9"/>
    <w:rsid w:val="0037107A"/>
    <w:rsid w:val="003912F5"/>
    <w:rsid w:val="003A3710"/>
    <w:rsid w:val="003B436F"/>
    <w:rsid w:val="003E2A5D"/>
    <w:rsid w:val="003E2B6E"/>
    <w:rsid w:val="00453F9F"/>
    <w:rsid w:val="004B578D"/>
    <w:rsid w:val="004E519F"/>
    <w:rsid w:val="00543B27"/>
    <w:rsid w:val="00592A18"/>
    <w:rsid w:val="005A002E"/>
    <w:rsid w:val="005A1682"/>
    <w:rsid w:val="005B3312"/>
    <w:rsid w:val="005C1586"/>
    <w:rsid w:val="005E7E0F"/>
    <w:rsid w:val="006078DC"/>
    <w:rsid w:val="006A1911"/>
    <w:rsid w:val="0070074E"/>
    <w:rsid w:val="007A1BC9"/>
    <w:rsid w:val="007F418D"/>
    <w:rsid w:val="0083255F"/>
    <w:rsid w:val="00835C3F"/>
    <w:rsid w:val="00836464"/>
    <w:rsid w:val="008607C3"/>
    <w:rsid w:val="00862FB8"/>
    <w:rsid w:val="008872A9"/>
    <w:rsid w:val="008B6A9A"/>
    <w:rsid w:val="008C0900"/>
    <w:rsid w:val="00972600"/>
    <w:rsid w:val="00975F34"/>
    <w:rsid w:val="00A15B0E"/>
    <w:rsid w:val="00A2363D"/>
    <w:rsid w:val="00A34C71"/>
    <w:rsid w:val="00AB2043"/>
    <w:rsid w:val="00B06D0D"/>
    <w:rsid w:val="00B31CD2"/>
    <w:rsid w:val="00B7570C"/>
    <w:rsid w:val="00BF2750"/>
    <w:rsid w:val="00C251C5"/>
    <w:rsid w:val="00C518FA"/>
    <w:rsid w:val="00D95579"/>
    <w:rsid w:val="00DE67BC"/>
    <w:rsid w:val="00DF3535"/>
    <w:rsid w:val="00E218EE"/>
    <w:rsid w:val="00E32FF4"/>
    <w:rsid w:val="00EB41C5"/>
    <w:rsid w:val="00EE0CCF"/>
    <w:rsid w:val="00F33F8F"/>
    <w:rsid w:val="00F34438"/>
    <w:rsid w:val="00F54A91"/>
    <w:rsid w:val="00F559CA"/>
    <w:rsid w:val="00FC6407"/>
    <w:rsid w:val="00FD25D5"/>
    <w:rsid w:val="00FD2DE1"/>
    <w:rsid w:val="00FD386E"/>
    <w:rsid w:val="0B380146"/>
    <w:rsid w:val="0CDE2932"/>
    <w:rsid w:val="108160CC"/>
    <w:rsid w:val="111B1F43"/>
    <w:rsid w:val="16C531D6"/>
    <w:rsid w:val="170F4451"/>
    <w:rsid w:val="174979EB"/>
    <w:rsid w:val="1B7C407F"/>
    <w:rsid w:val="1D1A4E83"/>
    <w:rsid w:val="1E876FC3"/>
    <w:rsid w:val="202820DF"/>
    <w:rsid w:val="207E2013"/>
    <w:rsid w:val="20FF3F18"/>
    <w:rsid w:val="25093C2C"/>
    <w:rsid w:val="28F17E5A"/>
    <w:rsid w:val="2AA011BE"/>
    <w:rsid w:val="2CF50A3F"/>
    <w:rsid w:val="30586F5C"/>
    <w:rsid w:val="316867E0"/>
    <w:rsid w:val="35026530"/>
    <w:rsid w:val="38F66DC7"/>
    <w:rsid w:val="41173D7E"/>
    <w:rsid w:val="48DD3AFF"/>
    <w:rsid w:val="4B213E7C"/>
    <w:rsid w:val="4C2C3866"/>
    <w:rsid w:val="4DCD34BC"/>
    <w:rsid w:val="501A4A8B"/>
    <w:rsid w:val="54A3540A"/>
    <w:rsid w:val="5EF17565"/>
    <w:rsid w:val="60DA09C8"/>
    <w:rsid w:val="64705B3F"/>
    <w:rsid w:val="6916190A"/>
    <w:rsid w:val="705926AB"/>
    <w:rsid w:val="72B8066E"/>
    <w:rsid w:val="75D60E9A"/>
    <w:rsid w:val="764A5A81"/>
    <w:rsid w:val="7D2232B3"/>
    <w:rsid w:val="7DB06B1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Strong"/>
    <w:basedOn w:val="4"/>
    <w:qFormat/>
    <w:uiPriority w:val="0"/>
  </w:style>
  <w:style w:type="paragraph" w:styleId="6">
    <w:name w:val="List Paragraph"/>
    <w:basedOn w:val="1"/>
    <w:qFormat/>
    <w:uiPriority w:val="34"/>
    <w:pPr>
      <w:ind w:firstLine="420" w:firstLineChars="200"/>
    </w:pPr>
  </w:style>
  <w:style w:type="table" w:customStyle="1" w:styleId="7">
    <w:name w:val="List Table 1 Light Accent 1"/>
    <w:basedOn w:val="2"/>
    <w:qFormat/>
    <w:uiPriority w:val="46"/>
    <w:tblStylePr w:type="firstRow">
      <w:rPr>
        <w:b/>
        <w:bCs/>
      </w:rPr>
      <w:tcPr>
        <w:tcBorders>
          <w:bottom w:val="single" w:color="8EAADB" w:themeColor="accent1" w:themeTint="99" w:sz="4" w:space="0"/>
        </w:tcBorders>
      </w:tcPr>
    </w:tblStylePr>
    <w:tblStylePr w:type="lastRow">
      <w:rPr>
        <w:b/>
        <w:bCs/>
      </w:rPr>
      <w:tcPr>
        <w:tcBorders>
          <w:top w:val="single" w:color="8EAADB" w:themeColor="accent1" w:themeTint="99" w:sz="4" w:space="0"/>
        </w:tcBorders>
      </w:tcPr>
    </w:tblStylePr>
    <w:tblStylePr w:type="firstCol">
      <w:rPr>
        <w:b/>
        <w:bCs/>
      </w:rPr>
    </w:tblStylePr>
    <w:tblStylePr w:type="lastCol">
      <w:rPr>
        <w:b/>
        <w:bCs/>
      </w:rPr>
    </w:tblStylePr>
    <w:tblStylePr w:type="band1Vert">
      <w:tcPr>
        <w:shd w:val="clear" w:color="auto" w:fill="D9E2F3" w:themeFill="accent1" w:themeFillTint="33"/>
      </w:tcPr>
    </w:tblStylePr>
    <w:tblStylePr w:type="band1Horz">
      <w:tcPr>
        <w:shd w:val="clear" w:color="auto" w:fill="D9E2F3" w:themeFill="accent1" w:themeFillTint="33"/>
      </w:tcPr>
    </w:tblStylePr>
  </w:style>
  <w:style w:type="table" w:customStyle="1" w:styleId="8">
    <w:name w:val="List Table 4 Accent 1"/>
    <w:basedOn w:val="2"/>
    <w:qFormat/>
    <w:uiPriority w:val="49"/>
    <w:tblPr>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tblBorders>
    </w:tblPr>
    <w:tblStylePr w:type="firstRow">
      <w:rPr>
        <w:b/>
        <w:bCs/>
        <w:color w:val="FFFFFF" w:themeColor="background1"/>
        <w14:textFill>
          <w14:solidFill>
            <w14:schemeClr w14:val="bg1"/>
          </w14:solidFill>
        </w14:textFill>
      </w:r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tcBorders>
        <w:shd w:val="clear" w:color="auto" w:fill="4472C4" w:themeFill="accent1"/>
      </w:tcPr>
    </w:tblStylePr>
    <w:tblStylePr w:type="lastRow">
      <w:rPr>
        <w:b/>
        <w:bCs/>
      </w:rPr>
      <w:tcPr>
        <w:tcBorders>
          <w:top w:val="double" w:color="8EAADB" w:themeColor="accent1" w:themeTint="99" w:sz="4" w:space="0"/>
        </w:tcBorders>
      </w:tcPr>
    </w:tblStylePr>
    <w:tblStylePr w:type="firstCol">
      <w:rPr>
        <w:b/>
        <w:bCs/>
      </w:rPr>
    </w:tblStylePr>
    <w:tblStylePr w:type="lastCol">
      <w:rPr>
        <w:b/>
        <w:bCs/>
      </w:rPr>
    </w:tblStylePr>
    <w:tblStylePr w:type="band1Vert">
      <w:tcPr>
        <w:shd w:val="clear" w:color="auto" w:fill="D9E2F3" w:themeFill="accent1" w:themeFillTint="33"/>
      </w:tcPr>
    </w:tblStylePr>
    <w:tblStylePr w:type="band1Horz">
      <w:tcPr>
        <w:shd w:val="clear" w:color="auto" w:fill="D9E2F3" w:themeFill="accent1" w:themeFillTint="33"/>
      </w:tcPr>
    </w:tblStylePr>
  </w:style>
  <w:style w:type="table" w:customStyle="1" w:styleId="9">
    <w:name w:val="Grid Table 4 Accent 1"/>
    <w:basedOn w:val="2"/>
    <w:qFormat/>
    <w:uiPriority w:val="49"/>
    <w:tblPr>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color w:val="FFFFFF" w:themeColor="background1"/>
        <w14:textFill>
          <w14:solidFill>
            <w14:schemeClr w14:val="bg1"/>
          </w14:solidFill>
        </w14:textFill>
      </w:r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insideV w:val="nil"/>
        </w:tcBorders>
        <w:shd w:val="clear" w:color="auto" w:fill="4472C4" w:themeFill="accent1"/>
      </w:tcPr>
    </w:tblStylePr>
    <w:tblStylePr w:type="lastRow">
      <w:rPr>
        <w:b/>
        <w:bCs/>
      </w:rPr>
      <w:tcPr>
        <w:tcBorders>
          <w:top w:val="double" w:color="4472C4" w:themeColor="accent1" w:sz="4" w:space="0"/>
        </w:tcBorders>
      </w:tcPr>
    </w:tblStylePr>
    <w:tblStylePr w:type="firstCol">
      <w:rPr>
        <w:b/>
        <w:bCs/>
      </w:rPr>
    </w:tblStylePr>
    <w:tblStylePr w:type="lastCol">
      <w:rPr>
        <w:b/>
        <w:bCs/>
      </w:rPr>
    </w:tblStylePr>
    <w:tblStylePr w:type="band1Vert">
      <w:tcPr>
        <w:shd w:val="clear" w:color="auto" w:fill="D9E2F3" w:themeFill="accent1" w:themeFillTint="33"/>
      </w:tcPr>
    </w:tblStylePr>
    <w:tblStylePr w:type="band1Horz">
      <w:tcPr>
        <w:shd w:val="clear" w:color="auto" w:fill="D9E2F3" w:themeFill="accent1" w:themeFillTint="33"/>
      </w:tcPr>
    </w:tblStyle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3619</Words>
  <Characters>3869</Characters>
  <Lines>27</Lines>
  <Paragraphs>7</Paragraphs>
  <TotalTime>1</TotalTime>
  <ScaleCrop>false</ScaleCrop>
  <LinksUpToDate>false</LinksUpToDate>
  <CharactersWithSpaces>3884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2024-03-21T03:20:00Z</dcterms:created>
  <dc:creator>Administrator</dc:creator>
  <cp:lastModifiedBy>su</cp:lastModifiedBy>
  <cp:lastPrinted>2025-07-26T11:47:00Z</cp:lastPrinted>
  <dcterms:modified xsi:type="dcterms:W3CDTF">2025-08-28T08:42:43Z</dcterms:modified>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eyJoZGlkIjoiOTYyZTAzNjk5NDI1ZDQ2MDE0NmJjNjAzOGEzODZkNDciLCJ1c2VySWQiOiIyNDE1ODc5NTkifQ==</vt:lpwstr>
  </property>
  <property fmtid="{D5CDD505-2E9C-101B-9397-08002B2CF9AE}" pid="3" name="KSOProductBuildVer">
    <vt:lpwstr>2052-12.1.0.22529</vt:lpwstr>
  </property>
  <property fmtid="{D5CDD505-2E9C-101B-9397-08002B2CF9AE}" pid="4" name="ICV">
    <vt:lpwstr>F287538180B24541ACE59BC6C2DC9C3A_13</vt:lpwstr>
  </property>
</Properties>
</file>