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CA970">
      <w:pPr>
        <w:spacing w:after="0" w:line="480" w:lineRule="exact"/>
        <w:jc w:val="center"/>
        <w:rPr>
          <w:rFonts w:hint="eastAsia" w:ascii="宋体" w:hAnsi="宋体" w:eastAsia="宋体"/>
          <w:b/>
          <w:bCs/>
          <w:color w:val="1F4E79"/>
          <w:sz w:val="28"/>
          <w:szCs w:val="28"/>
        </w:rPr>
      </w:pPr>
      <w:bookmarkStart w:id="0" w:name="_GoBack"/>
      <w:r>
        <w:rPr>
          <w:rFonts w:hint="eastAsia" w:ascii="宋体" w:hAnsi="宋体" w:eastAsia="宋体"/>
          <w:b/>
          <w:bCs/>
          <w:color w:val="1F4E79"/>
          <w:sz w:val="28"/>
          <w:szCs w:val="28"/>
        </w:rPr>
        <w:t>大数据时代</w:t>
      </w:r>
      <w:r>
        <w:rPr>
          <w:rFonts w:hint="eastAsia" w:ascii="宋体" w:hAnsi="宋体" w:eastAsia="宋体"/>
          <w:b/>
          <w:bCs/>
          <w:color w:val="1F4E79"/>
          <w:sz w:val="28"/>
          <w:szCs w:val="28"/>
          <w:lang w:eastAsia="zh-CN"/>
        </w:rPr>
        <w:t>——</w:t>
      </w:r>
      <w:r>
        <w:rPr>
          <w:rFonts w:hint="eastAsia" w:ascii="宋体" w:hAnsi="宋体" w:eastAsia="宋体"/>
          <w:b/>
          <w:bCs/>
          <w:color w:val="1F4E79"/>
          <w:sz w:val="28"/>
          <w:szCs w:val="28"/>
        </w:rPr>
        <w:t>人力资源视野</w:t>
      </w:r>
      <w:r>
        <w:rPr>
          <w:rFonts w:hint="eastAsia" w:ascii="宋体" w:hAnsi="宋体" w:eastAsia="宋体"/>
          <w:b/>
          <w:bCs/>
          <w:color w:val="1F4E79"/>
          <w:sz w:val="28"/>
          <w:szCs w:val="28"/>
          <w:lang w:eastAsia="zh-CN"/>
        </w:rPr>
        <w:t>：</w:t>
      </w:r>
      <w:r>
        <w:rPr>
          <w:rFonts w:hint="eastAsia" w:ascii="宋体" w:hAnsi="宋体" w:eastAsia="宋体"/>
          <w:b/>
          <w:bCs/>
          <w:color w:val="1F4E79"/>
          <w:sz w:val="28"/>
          <w:szCs w:val="28"/>
        </w:rPr>
        <w:t>从数据洞察到人才价值创造</w:t>
      </w:r>
    </w:p>
    <w:bookmarkEnd w:id="0"/>
    <w:p w14:paraId="31966654">
      <w:pPr>
        <w:spacing w:after="0" w:line="480" w:lineRule="exact"/>
        <w:rPr>
          <w:rFonts w:ascii="宋体" w:hAnsi="宋体" w:eastAsia="宋体"/>
          <w:sz w:val="24"/>
        </w:rPr>
      </w:pPr>
    </w:p>
    <w:p w14:paraId="7EC40E30">
      <w:pPr>
        <w:spacing w:after="0" w:line="480" w:lineRule="exact"/>
        <w:rPr>
          <w:rFonts w:hint="eastAsia" w:ascii="宋体" w:hAnsi="宋体" w:eastAsia="宋体"/>
          <w:b/>
          <w:bCs/>
          <w:color w:val="1F4E79"/>
          <w:sz w:val="24"/>
        </w:rPr>
      </w:pPr>
      <w:r>
        <w:rPr>
          <w:rFonts w:hint="eastAsia" w:ascii="宋体" w:hAnsi="宋体" w:eastAsia="宋体"/>
          <w:b/>
          <w:bCs/>
          <w:color w:val="1F4E79"/>
          <w:sz w:val="24"/>
        </w:rPr>
        <w:t>课程背景：</w:t>
      </w:r>
    </w:p>
    <w:p w14:paraId="42614AB6">
      <w:pPr>
        <w:spacing w:after="0" w:line="480" w:lineRule="exact"/>
        <w:ind w:firstLine="480" w:firstLineChars="20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我们正处在一个由数据定义未来的时代。大数据不仅是技术浪潮，更是一种深刻的思维方式与管理路径，它正以前所未有的力量重塑着组织与人才管理。正如现代管理之父彼得·德鲁克所言，所有组织90%的问题是共同的，核心都在于“人”。当数据量变积累引发质变，我们迎来了一个可以大幅度提升人才管理水平的绝佳契机。本课程正是在此背景下，旨在帮助管理者穿透数据迷雾，掌握驱动组织持续发展的核心能力。</w:t>
      </w:r>
    </w:p>
    <w:p w14:paraId="7E7ADBAF">
      <w:pPr>
        <w:spacing w:after="0" w:line="480" w:lineRule="exact"/>
        <w:rPr>
          <w:rFonts w:hint="eastAsia" w:ascii="宋体" w:hAnsi="宋体" w:eastAsia="宋体"/>
          <w:b/>
          <w:bCs/>
          <w:color w:val="1F4E79"/>
          <w:sz w:val="24"/>
        </w:rPr>
      </w:pPr>
    </w:p>
    <w:p w14:paraId="297C0AF3">
      <w:pPr>
        <w:spacing w:after="0" w:line="480" w:lineRule="exact"/>
        <w:rPr>
          <w:rFonts w:hint="eastAsia" w:ascii="宋体" w:hAnsi="宋体" w:eastAsia="宋体"/>
          <w:b/>
          <w:bCs/>
          <w:color w:val="1F4E79"/>
          <w:sz w:val="24"/>
        </w:rPr>
      </w:pPr>
      <w:r>
        <w:rPr>
          <w:rFonts w:hint="eastAsia" w:ascii="宋体" w:hAnsi="宋体" w:eastAsia="宋体"/>
          <w:b/>
          <w:bCs/>
          <w:color w:val="1F4E79"/>
          <w:sz w:val="24"/>
        </w:rPr>
        <w:t>课程收益：</w:t>
      </w:r>
    </w:p>
    <w:p w14:paraId="65709A1D">
      <w:pPr>
        <w:spacing w:after="0" w:line="48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1. 开拓数字化管理视野：</w:t>
      </w:r>
      <w:r>
        <w:rPr>
          <w:rFonts w:hint="eastAsia" w:ascii="宋体" w:hAnsi="宋体" w:eastAsia="宋体"/>
          <w:sz w:val="24"/>
        </w:rPr>
        <w:t>深刻理解大数据如何颠覆传统管理，构建数据驱动的战略思维。</w:t>
      </w:r>
    </w:p>
    <w:p w14:paraId="2BD545B8">
      <w:pPr>
        <w:spacing w:after="0" w:line="48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2. 提升人力资源管理效能：</w:t>
      </w:r>
      <w:r>
        <w:rPr>
          <w:rFonts w:hint="eastAsia" w:ascii="宋体" w:hAnsi="宋体" w:eastAsia="宋体"/>
          <w:sz w:val="24"/>
        </w:rPr>
        <w:t>学习如何运用数字化工具切入绩效、人才盘点等关键环节，实现精准管理。</w:t>
      </w:r>
    </w:p>
    <w:p w14:paraId="2FE06F00">
      <w:pPr>
        <w:spacing w:after="0" w:line="48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3. 掌握科学的人才决策方法：</w:t>
      </w:r>
      <w:r>
        <w:rPr>
          <w:rFonts w:hint="eastAsia" w:ascii="宋体" w:hAnsi="宋体" w:eastAsia="宋体"/>
          <w:sz w:val="24"/>
        </w:rPr>
        <w:t>通过KSF、九宫格等工具，学会用数据识别高贡献者，设计双赢的激励策略。</w:t>
      </w:r>
    </w:p>
    <w:p w14:paraId="500F0D98">
      <w:pPr>
        <w:spacing w:after="0" w:line="48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4. 构建数字化领导力：</w:t>
      </w:r>
      <w:r>
        <w:rPr>
          <w:rFonts w:hint="eastAsia" w:ascii="宋体" w:hAnsi="宋体" w:eastAsia="宋体"/>
          <w:sz w:val="24"/>
        </w:rPr>
        <w:t>探索数字化时代领导者的新特征，以及如何通过文化建设吸引与保留数字人才。</w:t>
      </w:r>
    </w:p>
    <w:p w14:paraId="05202486">
      <w:pPr>
        <w:spacing w:after="0" w:line="480" w:lineRule="exact"/>
        <w:rPr>
          <w:rFonts w:ascii="宋体" w:hAnsi="宋体" w:eastAsia="宋体"/>
          <w:b/>
          <w:bCs/>
          <w:color w:val="1F4E79"/>
          <w:sz w:val="24"/>
        </w:rPr>
      </w:pPr>
    </w:p>
    <w:p w14:paraId="0C3744DA">
      <w:pPr>
        <w:spacing w:after="0" w:line="480" w:lineRule="exact"/>
        <w:rPr>
          <w:rFonts w:hint="eastAsia" w:ascii="宋体" w:hAnsi="宋体" w:eastAsia="宋体"/>
          <w:b/>
          <w:bCs/>
          <w:color w:val="1F4E79"/>
          <w:sz w:val="24"/>
        </w:rPr>
      </w:pPr>
      <w:r>
        <w:rPr>
          <w:rFonts w:hint="eastAsia" w:ascii="宋体" w:hAnsi="宋体" w:eastAsia="宋体"/>
          <w:b/>
          <w:bCs/>
          <w:color w:val="1F4E79"/>
          <w:sz w:val="24"/>
        </w:rPr>
        <w:t>课程时间：</w:t>
      </w:r>
      <w:r>
        <w:rPr>
          <w:rFonts w:hint="eastAsia" w:ascii="宋体" w:hAnsi="宋体" w:eastAsia="宋体"/>
          <w:sz w:val="24"/>
        </w:rPr>
        <w:t>2天，6小时/天</w:t>
      </w:r>
    </w:p>
    <w:p w14:paraId="4C4AFB10">
      <w:pPr>
        <w:spacing w:after="0" w:line="480" w:lineRule="exact"/>
        <w:rPr>
          <w:rFonts w:hint="eastAsia" w:ascii="宋体" w:hAnsi="宋体" w:eastAsia="宋体"/>
          <w:b/>
          <w:bCs/>
          <w:color w:val="1F4E79"/>
          <w:sz w:val="24"/>
        </w:rPr>
      </w:pPr>
      <w:r>
        <w:rPr>
          <w:rFonts w:hint="eastAsia" w:ascii="宋体" w:hAnsi="宋体" w:eastAsia="宋体"/>
          <w:b/>
          <w:bCs/>
          <w:color w:val="1F4E79"/>
          <w:sz w:val="24"/>
        </w:rPr>
        <w:t>课程对象：</w:t>
      </w:r>
    </w:p>
    <w:p w14:paraId="738E7D2F">
      <w:pPr>
        <w:spacing w:after="0" w:line="48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1. 企业人力资源总监、经理及各模块专业人士</w:t>
      </w:r>
    </w:p>
    <w:p w14:paraId="3C657540">
      <w:pPr>
        <w:spacing w:after="0" w:line="48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2. 关注组织发展与人才战略的企业高层管理者</w:t>
      </w:r>
    </w:p>
    <w:p w14:paraId="1B4FF7C9">
      <w:pPr>
        <w:spacing w:after="0" w:line="48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3. 业务部门负责人及团队领导者</w:t>
      </w:r>
    </w:p>
    <w:p w14:paraId="2F2B2CE4">
      <w:pPr>
        <w:spacing w:after="0" w:line="480" w:lineRule="exact"/>
        <w:rPr>
          <w:rFonts w:ascii="宋体" w:hAnsi="宋体" w:eastAsia="宋体"/>
          <w:b/>
          <w:bCs/>
          <w:color w:val="1F4E79"/>
          <w:sz w:val="24"/>
        </w:rPr>
      </w:pPr>
      <w:r>
        <w:rPr>
          <w:rFonts w:hint="eastAsia" w:ascii="宋体" w:hAnsi="宋体" w:eastAsia="宋体"/>
          <w:b/>
          <w:bCs/>
          <w:color w:val="1F4E79"/>
          <w:sz w:val="24"/>
        </w:rPr>
        <w:t>课程方式：</w:t>
      </w:r>
      <w:r>
        <w:rPr>
          <w:rFonts w:hint="eastAsia" w:ascii="宋体" w:hAnsi="宋体" w:eastAsia="宋体"/>
          <w:sz w:val="24"/>
        </w:rPr>
        <w:t>理论讲述+案例拆解+互动研讨+工具演练</w:t>
      </w:r>
    </w:p>
    <w:p w14:paraId="72B0BA3D">
      <w:pPr>
        <w:spacing w:after="0" w:line="480" w:lineRule="exact"/>
        <w:rPr>
          <w:rFonts w:hint="eastAsia" w:ascii="宋体" w:hAnsi="宋体" w:eastAsia="宋体"/>
          <w:b/>
          <w:bCs/>
          <w:sz w:val="24"/>
        </w:rPr>
      </w:pPr>
    </w:p>
    <w:p w14:paraId="7240EAA3">
      <w:pPr>
        <w:spacing w:after="0" w:line="480" w:lineRule="exact"/>
        <w:rPr>
          <w:rFonts w:hint="eastAsia" w:ascii="宋体" w:hAnsi="宋体" w:eastAsia="宋体"/>
          <w:b/>
          <w:bCs/>
          <w:color w:val="C00000"/>
          <w:sz w:val="24"/>
        </w:rPr>
      </w:pPr>
      <w:r>
        <w:rPr>
          <w:rFonts w:hint="eastAsia" w:ascii="宋体" w:hAnsi="宋体" w:eastAsia="宋体"/>
          <w:b/>
          <w:bCs/>
          <w:color w:val="1F4E79"/>
          <w:sz w:val="24"/>
        </w:rPr>
        <w:t>课程模型：</w:t>
      </w:r>
    </w:p>
    <w:p w14:paraId="3F766E5E">
      <w:pPr>
        <w:spacing w:after="0" w:line="240" w:lineRule="auto"/>
        <w:jc w:val="center"/>
        <w:rPr>
          <w:rFonts w:hint="eastAsia" w:ascii="宋体" w:hAnsi="宋体" w:eastAsia="宋体"/>
          <w:sz w:val="24"/>
        </w:rPr>
      </w:pPr>
      <w:r>
        <w:rPr>
          <w:rFonts w:ascii="宋体" w:hAnsi="宋体" w:eastAsia="宋体"/>
          <w:sz w:val="24"/>
        </w:rPr>
        <w:drawing>
          <wp:inline distT="0" distB="0" distL="0" distR="0">
            <wp:extent cx="2700020" cy="2008505"/>
            <wp:effectExtent l="0" t="0" r="5080" b="0"/>
            <wp:docPr id="2615229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52293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20912" cy="2023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275E0">
      <w:pPr>
        <w:spacing w:after="0" w:line="480" w:lineRule="exact"/>
        <w:rPr>
          <w:rFonts w:hint="eastAsia" w:ascii="宋体" w:hAnsi="宋体" w:eastAsia="宋体"/>
          <w:sz w:val="24"/>
        </w:rPr>
      </w:pPr>
    </w:p>
    <w:p w14:paraId="21922113">
      <w:pPr>
        <w:spacing w:after="0" w:line="480" w:lineRule="exact"/>
        <w:jc w:val="center"/>
        <w:rPr>
          <w:rFonts w:hint="eastAsia" w:ascii="宋体" w:hAnsi="宋体" w:eastAsia="宋体"/>
          <w:b/>
          <w:bCs/>
          <w:color w:val="1F4E79"/>
          <w:sz w:val="24"/>
        </w:rPr>
      </w:pPr>
      <w:r>
        <w:rPr>
          <w:rFonts w:hint="eastAsia" w:ascii="宋体" w:hAnsi="宋体" w:eastAsia="宋体"/>
          <w:b/>
          <w:bCs/>
          <w:color w:val="1F4E79"/>
          <w:sz w:val="24"/>
        </w:rPr>
        <w:t>课程大纲</w:t>
      </w:r>
    </w:p>
    <w:p w14:paraId="7E0B9F67">
      <w:pPr>
        <w:spacing w:after="0" w:line="480" w:lineRule="exact"/>
        <w:rPr>
          <w:rFonts w:hint="eastAsia" w:ascii="宋体" w:hAnsi="宋体" w:eastAsia="宋体"/>
          <w:b/>
          <w:bCs/>
          <w:color w:val="1F4E79"/>
          <w:sz w:val="24"/>
        </w:rPr>
      </w:pPr>
      <w:r>
        <w:rPr>
          <w:rFonts w:hint="eastAsia" w:ascii="宋体" w:hAnsi="宋体" w:eastAsia="宋体"/>
          <w:b/>
          <w:bCs/>
          <w:color w:val="1F4E79"/>
          <w:sz w:val="24"/>
        </w:rPr>
        <w:t>第一讲：认知革命——大数据与人力资源的战略新范式</w:t>
      </w:r>
    </w:p>
    <w:p w14:paraId="4A48646C">
      <w:pPr>
        <w:spacing w:after="0" w:line="480" w:lineRule="exact"/>
        <w:rPr>
          <w:rFonts w:ascii="宋体" w:hAnsi="宋体" w:eastAsia="宋体" w:cs="Calibri"/>
          <w:color w:val="C45911"/>
          <w:sz w:val="24"/>
        </w:rPr>
      </w:pPr>
      <w:r>
        <w:rPr>
          <w:rFonts w:hint="eastAsia" w:ascii="宋体" w:hAnsi="宋体" w:eastAsia="宋体"/>
          <w:b/>
          <w:bCs/>
          <w:color w:val="C45911"/>
          <w:sz w:val="24"/>
        </w:rPr>
        <w:t>一、时代现象</w:t>
      </w:r>
    </w:p>
    <w:p w14:paraId="5A8CA2E3">
      <w:pPr>
        <w:spacing w:after="0" w:line="48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 w:cs="Calibri"/>
          <w:sz w:val="24"/>
        </w:rPr>
        <w:t>——</w:t>
      </w:r>
      <w:r>
        <w:rPr>
          <w:rFonts w:hint="eastAsia" w:ascii="宋体" w:hAnsi="宋体" w:eastAsia="宋体"/>
          <w:sz w:val="24"/>
        </w:rPr>
        <w:t>大数据的出现及其对商业世界的颠覆性影响</w:t>
      </w:r>
    </w:p>
    <w:p w14:paraId="34687F22">
      <w:pPr>
        <w:spacing w:after="0" w:line="480" w:lineRule="exact"/>
        <w:rPr>
          <w:rFonts w:ascii="宋体" w:hAnsi="宋体" w:eastAsia="宋体"/>
          <w:b/>
          <w:bCs/>
          <w:color w:val="C45911"/>
          <w:sz w:val="24"/>
        </w:rPr>
      </w:pPr>
      <w:r>
        <w:rPr>
          <w:rFonts w:hint="eastAsia" w:ascii="宋体" w:hAnsi="宋体" w:eastAsia="宋体"/>
          <w:b/>
          <w:bCs/>
          <w:color w:val="C45911"/>
          <w:sz w:val="24"/>
        </w:rPr>
        <w:t>二、大数据的三层含义</w:t>
      </w:r>
    </w:p>
    <w:p w14:paraId="5EE79981">
      <w:pPr>
        <w:spacing w:after="0" w:line="48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1. 数据量大</w:t>
      </w:r>
    </w:p>
    <w:p w14:paraId="0721A9F5">
      <w:pPr>
        <w:spacing w:after="0" w:line="48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2. 变化快</w:t>
      </w:r>
    </w:p>
    <w:p w14:paraId="624E9650">
      <w:pPr>
        <w:spacing w:after="0" w:line="48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3. 构成复杂</w:t>
      </w:r>
    </w:p>
    <w:p w14:paraId="6051CE1B">
      <w:pPr>
        <w:spacing w:after="0" w:line="480" w:lineRule="exact"/>
        <w:rPr>
          <w:rFonts w:hint="eastAsia" w:ascii="宋体" w:hAnsi="宋体" w:eastAsia="宋体"/>
          <w:b/>
          <w:bCs/>
          <w:color w:val="C45911"/>
          <w:sz w:val="24"/>
        </w:rPr>
      </w:pPr>
      <w:r>
        <w:rPr>
          <w:rFonts w:hint="eastAsia" w:ascii="宋体" w:hAnsi="宋体" w:eastAsia="宋体"/>
          <w:b/>
          <w:bCs/>
          <w:color w:val="C45911"/>
          <w:sz w:val="24"/>
        </w:rPr>
        <w:t>三、大数据背后蕴藏的大智慧与大价值</w:t>
      </w:r>
    </w:p>
    <w:p w14:paraId="3D5CD460">
      <w:pPr>
        <w:spacing w:after="0" w:line="48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案例拆解：</w:t>
      </w:r>
      <w:r>
        <w:rPr>
          <w:rFonts w:hint="eastAsia" w:ascii="宋体" w:hAnsi="宋体" w:eastAsia="宋体"/>
          <w:sz w:val="24"/>
        </w:rPr>
        <w:t>柯达与诺基亚的陨落——分析它们并非被技术颠覆，而是被基于数据的全新商业模式所颠覆。引出“数据成为战略资源”的必然性。</w:t>
      </w:r>
    </w:p>
    <w:p w14:paraId="2D4C364D">
      <w:pPr>
        <w:spacing w:after="0" w:line="48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互动研讨：</w:t>
      </w:r>
      <w:r>
        <w:rPr>
          <w:rFonts w:hint="eastAsia" w:ascii="宋体" w:hAnsi="宋体" w:eastAsia="宋体"/>
          <w:sz w:val="24"/>
        </w:rPr>
        <w:t>从酒店、银行、停车场的数字化现象，看我们身边的管理变革。</w:t>
      </w:r>
    </w:p>
    <w:p w14:paraId="226A96C5">
      <w:pPr>
        <w:spacing w:after="0" w:line="480" w:lineRule="exact"/>
        <w:rPr>
          <w:rFonts w:ascii="宋体" w:hAnsi="宋体" w:eastAsia="宋体"/>
          <w:b/>
          <w:bCs/>
          <w:color w:val="1F4E79"/>
          <w:sz w:val="24"/>
        </w:rPr>
      </w:pPr>
    </w:p>
    <w:p w14:paraId="5FCBF021">
      <w:pPr>
        <w:spacing w:after="0" w:line="480" w:lineRule="exact"/>
        <w:rPr>
          <w:rFonts w:hint="eastAsia" w:ascii="宋体" w:hAnsi="宋体" w:eastAsia="宋体"/>
          <w:b/>
          <w:bCs/>
          <w:color w:val="1F4E79"/>
          <w:sz w:val="24"/>
        </w:rPr>
      </w:pPr>
      <w:r>
        <w:rPr>
          <w:rFonts w:hint="eastAsia" w:ascii="宋体" w:hAnsi="宋体" w:eastAsia="宋体"/>
          <w:b/>
          <w:bCs/>
          <w:color w:val="1F4E79"/>
          <w:sz w:val="24"/>
        </w:rPr>
        <w:t>第二讲：效能引擎——数字化绩效与人才管理实战</w:t>
      </w:r>
    </w:p>
    <w:p w14:paraId="6B9EEAFD">
      <w:pPr>
        <w:spacing w:after="0" w:line="480" w:lineRule="exact"/>
        <w:rPr>
          <w:rFonts w:hint="eastAsia" w:ascii="宋体" w:hAnsi="宋体" w:eastAsia="宋体"/>
          <w:b/>
          <w:bCs/>
          <w:color w:val="C45911"/>
          <w:sz w:val="24"/>
        </w:rPr>
      </w:pPr>
      <w:r>
        <w:rPr>
          <w:rFonts w:hint="eastAsia" w:ascii="宋体" w:hAnsi="宋体" w:eastAsia="宋体"/>
          <w:b/>
          <w:bCs/>
          <w:color w:val="C45911"/>
          <w:sz w:val="24"/>
        </w:rPr>
        <w:t>一、企业现状诊断</w:t>
      </w:r>
    </w:p>
    <w:p w14:paraId="4AA9D4CF">
      <w:pPr>
        <w:spacing w:after="0" w:line="48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案例拆解：</w:t>
      </w:r>
      <w:r>
        <w:rPr>
          <w:rFonts w:hint="eastAsia" w:ascii="宋体" w:hAnsi="宋体" w:eastAsia="宋体"/>
          <w:sz w:val="24"/>
        </w:rPr>
        <w:t>富士康的“机器换人”与华为“9分钟制造一部手机”的启示——分析设备替代人员的趋势与人效提升的紧迫性。</w:t>
      </w:r>
    </w:p>
    <w:p w14:paraId="7055EE6D">
      <w:pPr>
        <w:spacing w:after="0" w:line="48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工具演练：</w:t>
      </w:r>
      <w:r>
        <w:rPr>
          <w:rFonts w:hint="eastAsia" w:ascii="宋体" w:hAnsi="宋体" w:eastAsia="宋体"/>
          <w:sz w:val="24"/>
        </w:rPr>
        <w:t>运用“开放式问题线”教练工具，结合数据模板，诊断本企业人效与员工胜任能力的现状。</w:t>
      </w:r>
    </w:p>
    <w:p w14:paraId="2BA8B4A6">
      <w:pPr>
        <w:spacing w:after="0" w:line="480" w:lineRule="exact"/>
        <w:rPr>
          <w:rFonts w:hint="eastAsia" w:ascii="宋体" w:hAnsi="宋体" w:eastAsia="宋体"/>
          <w:b/>
          <w:bCs/>
          <w:color w:val="C45911"/>
          <w:sz w:val="24"/>
        </w:rPr>
      </w:pPr>
      <w:r>
        <w:rPr>
          <w:rFonts w:hint="eastAsia" w:ascii="宋体" w:hAnsi="宋体" w:eastAsia="宋体"/>
          <w:b/>
          <w:bCs/>
          <w:color w:val="C45911"/>
          <w:sz w:val="24"/>
        </w:rPr>
        <w:t>二、人才进出机制设计</w:t>
      </w:r>
    </w:p>
    <w:p w14:paraId="02271143">
      <w:pPr>
        <w:spacing w:after="0" w:line="48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案例拆解：</w:t>
      </w:r>
      <w:r>
        <w:rPr>
          <w:rFonts w:hint="eastAsia" w:ascii="宋体" w:hAnsi="宋体" w:eastAsia="宋体"/>
          <w:sz w:val="24"/>
        </w:rPr>
        <w:t>华为的人才生态策略——从流失率数据背后挖掘管理现象，对比国企与民企的不同生态。</w:t>
      </w:r>
    </w:p>
    <w:p w14:paraId="2FCDD95C">
      <w:pPr>
        <w:spacing w:after="0" w:line="48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方法论：</w:t>
      </w:r>
      <w:r>
        <w:rPr>
          <w:rFonts w:hint="eastAsia" w:ascii="宋体" w:hAnsi="宋体" w:eastAsia="宋体"/>
          <w:sz w:val="24"/>
        </w:rPr>
        <w:t>运用“二八原则”计算员工贡献值，探讨人才队伍“大尾”的处理方案（劣势与优势并存）。</w:t>
      </w:r>
    </w:p>
    <w:p w14:paraId="071863BD">
      <w:pPr>
        <w:spacing w:after="0" w:line="48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工具演练：</w:t>
      </w:r>
      <w:r>
        <w:rPr>
          <w:rFonts w:hint="eastAsia" w:ascii="宋体" w:hAnsi="宋体" w:eastAsia="宋体"/>
          <w:sz w:val="24"/>
        </w:rPr>
        <w:t>使用“迪士尼商业策略”教练工具，绘制本企业人才进出的梦想版、实干版与批评版。</w:t>
      </w:r>
    </w:p>
    <w:p w14:paraId="4DB6EE73">
      <w:pPr>
        <w:spacing w:after="0" w:line="480" w:lineRule="exact"/>
        <w:rPr>
          <w:rFonts w:hint="eastAsia" w:ascii="宋体" w:hAnsi="宋体" w:eastAsia="宋体"/>
          <w:b/>
          <w:bCs/>
          <w:color w:val="C45911"/>
          <w:sz w:val="24"/>
        </w:rPr>
      </w:pPr>
      <w:r>
        <w:rPr>
          <w:rFonts w:hint="eastAsia" w:ascii="宋体" w:hAnsi="宋体" w:eastAsia="宋体"/>
          <w:b/>
          <w:bCs/>
          <w:color w:val="C45911"/>
          <w:sz w:val="24"/>
        </w:rPr>
        <w:t>三、数字化考核与激励</w:t>
      </w:r>
    </w:p>
    <w:p w14:paraId="7DE692BB">
      <w:pPr>
        <w:spacing w:after="0" w:line="48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案例拆解：</w:t>
      </w:r>
      <w:r>
        <w:rPr>
          <w:rFonts w:hint="eastAsia" w:ascii="宋体" w:hAnsi="宋体" w:eastAsia="宋体"/>
          <w:sz w:val="24"/>
        </w:rPr>
        <w:t>通过一张KSF（关键成功因子）图，理解如何用数据证明贡献者，实现“多劳多得”从效能而来。</w:t>
      </w:r>
    </w:p>
    <w:p w14:paraId="119811CA">
      <w:pPr>
        <w:spacing w:after="0" w:line="48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方法论：</w:t>
      </w:r>
      <w:r>
        <w:rPr>
          <w:rFonts w:hint="eastAsia" w:ascii="宋体" w:hAnsi="宋体" w:eastAsia="宋体"/>
          <w:sz w:val="24"/>
        </w:rPr>
        <w:t>“九宫格”工具，学习如何从潜能与绩效两大维度安放人才、牵引人才，并掌握五类人才的算法。</w:t>
      </w:r>
    </w:p>
    <w:p w14:paraId="11EF1D9F">
      <w:pPr>
        <w:spacing w:after="0" w:line="48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工具演练：</w:t>
      </w:r>
      <w:r>
        <w:rPr>
          <w:rFonts w:hint="eastAsia" w:ascii="宋体" w:hAnsi="宋体" w:eastAsia="宋体"/>
          <w:sz w:val="24"/>
        </w:rPr>
        <w:t>运用“平衡轮”工具，找到本企业在人才优胜劣汰中的突破点，并演练本岗位可以提升的效能边界。</w:t>
      </w:r>
    </w:p>
    <w:p w14:paraId="4E532CA6">
      <w:pPr>
        <w:spacing w:after="0" w:line="480" w:lineRule="exact"/>
        <w:rPr>
          <w:rFonts w:hint="eastAsia" w:ascii="宋体" w:hAnsi="宋体" w:eastAsia="宋体"/>
          <w:sz w:val="24"/>
        </w:rPr>
      </w:pPr>
    </w:p>
    <w:p w14:paraId="1D5008D2">
      <w:pPr>
        <w:spacing w:after="0" w:line="480" w:lineRule="exact"/>
        <w:rPr>
          <w:rFonts w:hint="eastAsia" w:ascii="宋体" w:hAnsi="宋体" w:eastAsia="宋体"/>
          <w:b/>
          <w:bCs/>
          <w:color w:val="1F4E79"/>
          <w:sz w:val="24"/>
        </w:rPr>
      </w:pPr>
      <w:r>
        <w:rPr>
          <w:rFonts w:hint="eastAsia" w:ascii="宋体" w:hAnsi="宋体" w:eastAsia="宋体"/>
          <w:b/>
          <w:bCs/>
          <w:color w:val="1F4E79"/>
          <w:sz w:val="24"/>
        </w:rPr>
        <w:t>第三讲：智慧投资——数字化培训与组织效能提升</w:t>
      </w:r>
    </w:p>
    <w:p w14:paraId="1EF66298">
      <w:pPr>
        <w:spacing w:after="0" w:line="480" w:lineRule="exact"/>
        <w:rPr>
          <w:rFonts w:hint="eastAsia" w:ascii="宋体" w:hAnsi="宋体" w:eastAsia="宋体"/>
          <w:b/>
          <w:bCs/>
          <w:color w:val="C45911"/>
          <w:sz w:val="24"/>
        </w:rPr>
      </w:pPr>
      <w:r>
        <w:rPr>
          <w:rFonts w:hint="eastAsia" w:ascii="宋体" w:hAnsi="宋体" w:eastAsia="宋体"/>
          <w:b/>
          <w:bCs/>
          <w:color w:val="C45911"/>
          <w:sz w:val="24"/>
        </w:rPr>
        <w:t>一、培训的价值重估</w:t>
      </w:r>
    </w:p>
    <w:p w14:paraId="6D3130B7">
      <w:pPr>
        <w:spacing w:after="0" w:line="48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案例拆解：</w:t>
      </w:r>
      <w:r>
        <w:rPr>
          <w:rFonts w:hint="eastAsia" w:ascii="宋体" w:hAnsi="宋体" w:eastAsia="宋体"/>
          <w:sz w:val="24"/>
        </w:rPr>
        <w:t>“培训贵？不培训更贵？”——通过具体费用案例，重新计算人才培养的投资回报率（ROI）。</w:t>
      </w:r>
    </w:p>
    <w:p w14:paraId="1E3A943F">
      <w:pPr>
        <w:spacing w:after="0" w:line="48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1. 网络培训如何追赶互联网速度</w:t>
      </w:r>
    </w:p>
    <w:p w14:paraId="1326D1F9">
      <w:pPr>
        <w:spacing w:after="0" w:line="48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2. 哪些核心人才培养方式无法被网课替代</w:t>
      </w:r>
    </w:p>
    <w:p w14:paraId="5351E9BD">
      <w:pPr>
        <w:spacing w:after="0" w:line="480" w:lineRule="exact"/>
        <w:rPr>
          <w:rFonts w:hint="eastAsia" w:ascii="宋体" w:hAnsi="宋体" w:eastAsia="宋体"/>
          <w:b/>
          <w:bCs/>
          <w:color w:val="C45911"/>
          <w:sz w:val="24"/>
        </w:rPr>
      </w:pPr>
      <w:r>
        <w:rPr>
          <w:rFonts w:hint="eastAsia" w:ascii="宋体" w:hAnsi="宋体" w:eastAsia="宋体"/>
          <w:b/>
          <w:bCs/>
          <w:color w:val="C45911"/>
          <w:sz w:val="24"/>
        </w:rPr>
        <w:t>二、人才流动与盘点</w:t>
      </w:r>
    </w:p>
    <w:p w14:paraId="0880DEEA">
      <w:pPr>
        <w:spacing w:after="0" w:line="48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方法论：</w:t>
      </w:r>
      <w:r>
        <w:rPr>
          <w:rFonts w:hint="eastAsia" w:ascii="宋体" w:hAnsi="宋体" w:eastAsia="宋体"/>
          <w:sz w:val="24"/>
        </w:rPr>
        <w:t>学习人才流动的8大指标与公式计算，分析哪些流动人员可以通过培训干预来改写盘点台账。</w:t>
      </w:r>
    </w:p>
    <w:p w14:paraId="52F47606">
      <w:pPr>
        <w:spacing w:after="0" w:line="48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工具演练：</w:t>
      </w:r>
      <w:r>
        <w:rPr>
          <w:rFonts w:hint="eastAsia" w:ascii="宋体" w:hAnsi="宋体" w:eastAsia="宋体"/>
          <w:sz w:val="24"/>
        </w:rPr>
        <w:t>应用“逻辑层次”教练工具，学习使用“看不见的方法”提高培训效能，并以学员公司员工为例进行交付演练。</w:t>
      </w:r>
    </w:p>
    <w:p w14:paraId="076094CE">
      <w:pPr>
        <w:spacing w:after="0" w:line="480" w:lineRule="exact"/>
        <w:rPr>
          <w:rFonts w:hint="eastAsia" w:ascii="宋体" w:hAnsi="宋体" w:eastAsia="宋体"/>
          <w:b/>
          <w:bCs/>
          <w:color w:val="C45911"/>
          <w:sz w:val="24"/>
        </w:rPr>
      </w:pPr>
      <w:r>
        <w:rPr>
          <w:rFonts w:hint="eastAsia" w:ascii="宋体" w:hAnsi="宋体" w:eastAsia="宋体"/>
          <w:b/>
          <w:bCs/>
          <w:color w:val="C45911"/>
          <w:sz w:val="24"/>
        </w:rPr>
        <w:t>三、组织效能对标</w:t>
      </w:r>
    </w:p>
    <w:p w14:paraId="1F396766">
      <w:pPr>
        <w:spacing w:after="0" w:line="48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方法论：</w:t>
      </w:r>
      <w:r>
        <w:rPr>
          <w:rFonts w:hint="eastAsia" w:ascii="宋体" w:hAnsi="宋体" w:eastAsia="宋体"/>
          <w:sz w:val="24"/>
        </w:rPr>
        <w:t>学习使用包含“前驱、中驱、后驱”三大元素的效能分析表，理解商业模式、管理模式与心智模式的相互作用。</w:t>
      </w:r>
    </w:p>
    <w:p w14:paraId="78406F3F">
      <w:pPr>
        <w:spacing w:after="0" w:line="48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案例拆解：</w:t>
      </w:r>
      <w:r>
        <w:rPr>
          <w:rFonts w:hint="eastAsia" w:ascii="宋体" w:hAnsi="宋体" w:eastAsia="宋体"/>
          <w:sz w:val="24"/>
        </w:rPr>
        <w:t>通过六大公式描述企业效能，将自己的企业与冠军企业进行数据对标，并反思创新机会。</w:t>
      </w:r>
    </w:p>
    <w:p w14:paraId="5AF8B0C2">
      <w:pPr>
        <w:spacing w:after="0" w:line="48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工具演练：</w:t>
      </w:r>
      <w:r>
        <w:rPr>
          <w:rFonts w:hint="eastAsia" w:ascii="宋体" w:hAnsi="宋体" w:eastAsia="宋体"/>
          <w:sz w:val="24"/>
        </w:rPr>
        <w:t>运用“效能提升四象限”工具，绘制三线图（现有线+冠军企业线+可行改善线），制定本企业的效能提升路径。</w:t>
      </w:r>
    </w:p>
    <w:p w14:paraId="14A7DBFA">
      <w:pPr>
        <w:spacing w:after="0" w:line="480" w:lineRule="exact"/>
        <w:rPr>
          <w:rFonts w:hint="eastAsia" w:ascii="宋体" w:hAnsi="宋体" w:eastAsia="宋体"/>
          <w:sz w:val="24"/>
        </w:rPr>
      </w:pPr>
    </w:p>
    <w:p w14:paraId="11A1D979">
      <w:pPr>
        <w:spacing w:after="0" w:line="480" w:lineRule="exact"/>
        <w:rPr>
          <w:rFonts w:hint="eastAsia" w:ascii="宋体" w:hAnsi="宋体" w:eastAsia="宋体"/>
          <w:b/>
          <w:bCs/>
          <w:color w:val="1F4E79"/>
          <w:sz w:val="24"/>
        </w:rPr>
      </w:pPr>
      <w:r>
        <w:rPr>
          <w:rFonts w:hint="eastAsia" w:ascii="宋体" w:hAnsi="宋体" w:eastAsia="宋体"/>
          <w:b/>
          <w:bCs/>
          <w:color w:val="1F4E79"/>
          <w:sz w:val="24"/>
        </w:rPr>
        <w:t>第四讲：未来引领——数字化领导力与文化塑造</w:t>
      </w:r>
    </w:p>
    <w:p w14:paraId="10A784CC">
      <w:pPr>
        <w:spacing w:after="0" w:line="480" w:lineRule="exact"/>
        <w:rPr>
          <w:rFonts w:ascii="宋体" w:hAnsi="宋体" w:eastAsia="宋体"/>
          <w:b/>
          <w:bCs/>
          <w:color w:val="C45911"/>
          <w:sz w:val="24"/>
        </w:rPr>
      </w:pPr>
      <w:r>
        <w:rPr>
          <w:rFonts w:hint="eastAsia" w:ascii="宋体" w:hAnsi="宋体" w:eastAsia="宋体"/>
          <w:b/>
          <w:bCs/>
          <w:color w:val="C45911"/>
          <w:sz w:val="24"/>
        </w:rPr>
        <w:t>一、数字化领导力</w:t>
      </w:r>
    </w:p>
    <w:p w14:paraId="331992BD">
      <w:pPr>
        <w:spacing w:after="0" w:line="48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1. 数字化领导者的特征与能力</w:t>
      </w:r>
    </w:p>
    <w:p w14:paraId="448D9DA0">
      <w:pPr>
        <w:spacing w:after="0" w:line="48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2. 数字技术如何推动商业实践创新</w:t>
      </w:r>
    </w:p>
    <w:p w14:paraId="7C3C8BAB">
      <w:pPr>
        <w:spacing w:after="0" w:line="480" w:lineRule="exact"/>
        <w:rPr>
          <w:rFonts w:ascii="宋体" w:hAnsi="宋体" w:eastAsia="宋体"/>
          <w:b/>
          <w:bCs/>
          <w:color w:val="C45911"/>
          <w:sz w:val="24"/>
        </w:rPr>
      </w:pPr>
      <w:r>
        <w:rPr>
          <w:rFonts w:hint="eastAsia" w:ascii="宋体" w:hAnsi="宋体" w:eastAsia="宋体"/>
          <w:b/>
          <w:bCs/>
          <w:color w:val="C45911"/>
          <w:sz w:val="24"/>
        </w:rPr>
        <w:t>二、人才获取</w:t>
      </w:r>
    </w:p>
    <w:p w14:paraId="0A63A46D">
      <w:pPr>
        <w:spacing w:after="0" w:line="48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1. 企业获得数字人才的三种方式</w:t>
      </w:r>
    </w:p>
    <w:p w14:paraId="07E4E97B">
      <w:pPr>
        <w:spacing w:after="0" w:line="48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2. 数字化文化建设如何影响人才队伍</w:t>
      </w:r>
    </w:p>
    <w:p w14:paraId="73DDCBCD">
      <w:pPr>
        <w:spacing w:after="0" w:line="480" w:lineRule="exact"/>
        <w:rPr>
          <w:rFonts w:hint="eastAsia" w:ascii="宋体" w:hAnsi="宋体" w:eastAsia="宋体"/>
          <w:b/>
          <w:bCs/>
          <w:color w:val="C45911"/>
          <w:sz w:val="24"/>
        </w:rPr>
      </w:pPr>
      <w:r>
        <w:rPr>
          <w:rFonts w:hint="eastAsia" w:ascii="宋体" w:hAnsi="宋体" w:eastAsia="宋体"/>
          <w:b/>
          <w:bCs/>
          <w:color w:val="C45911"/>
          <w:sz w:val="24"/>
        </w:rPr>
        <w:t>三、系统思维</w:t>
      </w:r>
    </w:p>
    <w:p w14:paraId="1EE0798D">
      <w:pPr>
        <w:spacing w:after="0" w:line="48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案例拆解：</w:t>
      </w:r>
      <w:r>
        <w:rPr>
          <w:rFonts w:hint="eastAsia" w:ascii="宋体" w:hAnsi="宋体" w:eastAsia="宋体"/>
          <w:sz w:val="24"/>
        </w:rPr>
        <w:t>解析“加油系统”框架，理解如何通过文化、组织、制度（对内叫心智模式）以及产品、营销（对外叫商业模式）共同支撑管理模式，最终实现战略驱动。</w:t>
      </w:r>
    </w:p>
    <w:p w14:paraId="24A3D64A">
      <w:pPr>
        <w:spacing w:after="0" w:line="48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误区警示：</w:t>
      </w:r>
      <w:r>
        <w:rPr>
          <w:rFonts w:hint="eastAsia" w:ascii="宋体" w:hAnsi="宋体" w:eastAsia="宋体"/>
          <w:sz w:val="24"/>
        </w:rPr>
        <w:t>深入探讨“数字化转型的核心是技术吗？”“利润好的企业更容易成功吗？”等常见误区，培养批判性思考。</w:t>
      </w:r>
    </w:p>
    <w:p w14:paraId="2ECA7C30">
      <w:pPr>
        <w:spacing w:after="0" w:line="480" w:lineRule="exac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客户-可选项</w:t>
      </w:r>
    </w:p>
    <w:p w14:paraId="32FF49FD">
      <w:pPr>
        <w:spacing w:after="0" w:line="480" w:lineRule="exact"/>
        <w:rPr>
          <w:rFonts w:hint="eastAsia" w:ascii="宋体" w:hAnsi="宋体" w:eastAsia="宋体"/>
          <w:sz w:val="24"/>
        </w:rPr>
      </w:pPr>
    </w:p>
    <w:p w14:paraId="290AFF00">
      <w:pPr>
        <w:spacing w:after="0" w:line="480" w:lineRule="exact"/>
        <w:rPr>
          <w:rFonts w:hint="eastAsia"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1. 总结与行动学习计划（1周内老师可线上支持30~60分钟）</w:t>
      </w:r>
    </w:p>
    <w:p w14:paraId="25E57A5E">
      <w:pPr>
        <w:spacing w:after="0" w:line="48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1）平衡轮复盘：各小组运用“平衡轮”工具，回顾本次学习内容，找出本单位在大数据建设上最关键的撬动支点。</w:t>
      </w:r>
    </w:p>
    <w:p w14:paraId="6F943A0B">
      <w:pPr>
        <w:spacing w:after="0" w:line="48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2）制定行动计划：引导学员结合自身工作，制定一份包含具体目标、行动步骤和预期成果的“个人行动计划”。</w:t>
      </w:r>
    </w:p>
    <w:p w14:paraId="2483A64B">
      <w:pPr>
        <w:spacing w:after="0" w:line="480" w:lineRule="exact"/>
        <w:rPr>
          <w:rFonts w:hint="eastAsia" w:ascii="宋体" w:hAnsi="宋体" w:eastAsia="宋体"/>
          <w:b/>
          <w:bCs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2. 课后考试</w:t>
      </w:r>
    </w:p>
    <w:p w14:paraId="698F4D1B">
      <w:pPr>
        <w:spacing w:after="0" w:line="48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1）老师提供考试试卷与答案-标准二级评估</w:t>
      </w:r>
    </w:p>
    <w:p w14:paraId="45FB3B34">
      <w:pPr>
        <w:spacing w:after="0" w:line="480" w:lineRule="exact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2）含单选题、多选题、判断题、简答题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7FC"/>
    <w:rsid w:val="001E0F0F"/>
    <w:rsid w:val="00457055"/>
    <w:rsid w:val="006367FC"/>
    <w:rsid w:val="00CA6C05"/>
    <w:rsid w:val="00E51DBC"/>
    <w:rsid w:val="00ED2D7D"/>
    <w:rsid w:val="0121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1890</Words>
  <Characters>1920</Characters>
  <Lines>14</Lines>
  <Paragraphs>4</Paragraphs>
  <TotalTime>23</TotalTime>
  <ScaleCrop>false</ScaleCrop>
  <LinksUpToDate>false</LinksUpToDate>
  <CharactersWithSpaces>1938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2025-12-11T07:12:00Z</dcterms:created>
  <dc:creator>Yuwei Deng</dc:creator>
  <cp:lastModifiedBy>su</cp:lastModifiedBy>
  <dcterms:modified xsi:type="dcterms:W3CDTF">2026-02-27T08:25:59Z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eyJoZGlkIjoiOTYyZTAzNjk5NDI1ZDQ2MDE0NmJjNjAzOGEzODZkNDciLCJ1c2VySWQiOiIyNDE1ODc5NTkifQ==</vt:lpwstr>
  </property>
  <property fmtid="{D5CDD505-2E9C-101B-9397-08002B2CF9AE}" pid="3" name="KSOProductBuildVer">
    <vt:lpwstr>2052-12.1.0.25225</vt:lpwstr>
  </property>
  <property fmtid="{D5CDD505-2E9C-101B-9397-08002B2CF9AE}" pid="4" name="ICV">
    <vt:lpwstr>84A6ACC39D3146D0880890BBCB1F472D_12</vt:lpwstr>
  </property>
</Properties>
</file>