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FEB3E">
      <w:pPr>
        <w:widowControl/>
        <w:spacing w:line="480" w:lineRule="exact"/>
        <w:rPr>
          <w:rFonts w:hint="eastAsia" w:ascii="宋体" w:hAnsi="宋体" w:cs="宋体"/>
          <w:b/>
          <w:kern w:val="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88795" cy="2676525"/>
            <wp:effectExtent l="0" t="0" r="1905" b="952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kern w:val="0"/>
          <w:sz w:val="32"/>
          <w:szCs w:val="32"/>
        </w:rPr>
        <w:t>邓雨薇老师</w:t>
      </w:r>
      <w:r>
        <w:rPr>
          <w:rFonts w:hint="eastAsia" w:ascii="宋体" w:hAnsi="宋体" w:cs="宋体"/>
          <w:b/>
          <w:kern w:val="0"/>
          <w:sz w:val="32"/>
          <w:szCs w:val="32"/>
        </w:rPr>
        <w:t xml:space="preserve"> </w:t>
      </w:r>
      <w:r>
        <w:rPr>
          <w:rFonts w:ascii="宋体" w:hAnsi="宋体" w:cs="宋体"/>
          <w:b/>
          <w:kern w:val="0"/>
          <w:sz w:val="32"/>
          <w:szCs w:val="32"/>
        </w:rPr>
        <w:t xml:space="preserve">  </w:t>
      </w:r>
      <w:r>
        <w:rPr>
          <w:rFonts w:hint="eastAsia" w:ascii="宋体" w:hAnsi="宋体" w:cs="宋体"/>
          <w:b/>
          <w:kern w:val="0"/>
          <w:sz w:val="32"/>
          <w:szCs w:val="32"/>
        </w:rPr>
        <w:t>组织发展与人力配置专家</w:t>
      </w:r>
    </w:p>
    <w:p w14:paraId="7B5096F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河北大学中文系硕士</w:t>
      </w:r>
    </w:p>
    <w:p w14:paraId="5DBD76A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PTT培训认证讲师</w:t>
      </w:r>
    </w:p>
    <w:p w14:paraId="487D9931">
      <w:pPr>
        <w:pStyle w:val="19"/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国际教练联盟(ICF)认证PCC级教练</w:t>
      </w:r>
    </w:p>
    <w:p w14:paraId="3E391D65">
      <w:pPr>
        <w:widowControl/>
        <w:spacing w:line="480" w:lineRule="exact"/>
        <w:rPr>
          <w:rFonts w:hint="eastAsia" w:ascii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平衡模式专业导师/教练式国际培训师</w:t>
      </w:r>
    </w:p>
    <w:p w14:paraId="30297F2A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国家【薪税师】教材编写者</w:t>
      </w:r>
    </w:p>
    <w:p w14:paraId="43002F1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中国首届劳动关系协调师/中国高级人力资源管理师</w:t>
      </w:r>
    </w:p>
    <w:p w14:paraId="791AA3F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曾任：</w:t>
      </w:r>
      <w:r>
        <w:rPr>
          <w:rFonts w:hint="eastAsia" w:ascii="宋体" w:hAnsi="宋体"/>
          <w:sz w:val="24"/>
          <w:szCs w:val="24"/>
        </w:rPr>
        <w:t>中国电信/中国移动</w:t>
      </w:r>
      <w:r>
        <w:rPr>
          <w:rFonts w:hint="eastAsia" w:ascii="宋体" w:hAnsi="宋体"/>
          <w:bCs/>
          <w:sz w:val="24"/>
          <w:szCs w:val="24"/>
        </w:rPr>
        <w:t>（500强）丨</w:t>
      </w:r>
      <w:r>
        <w:rPr>
          <w:rFonts w:hint="eastAsia" w:ascii="宋体" w:hAnsi="宋体"/>
          <w:sz w:val="24"/>
          <w:szCs w:val="24"/>
        </w:rPr>
        <w:t>高管</w:t>
      </w:r>
    </w:p>
    <w:p w14:paraId="0E10760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曾任：</w:t>
      </w:r>
      <w:r>
        <w:rPr>
          <w:rFonts w:hint="eastAsia" w:ascii="宋体" w:hAnsi="宋体"/>
          <w:sz w:val="24"/>
          <w:szCs w:val="24"/>
        </w:rPr>
        <w:t>深圳润迅集团/深圳波导实业有限责任公司/深圳华业汽车集团人力资源丨高管</w:t>
      </w:r>
    </w:p>
    <w:p w14:paraId="288C8871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擅长领域：</w:t>
      </w:r>
      <w:r>
        <w:rPr>
          <w:rFonts w:hint="eastAsia" w:ascii="宋体" w:hAnsi="宋体"/>
          <w:sz w:val="24"/>
          <w:szCs w:val="24"/>
        </w:rPr>
        <w:t>组织发展、组织变革、人才盘点、人力资源管理、企业文化建设、领导力、教练技术等</w:t>
      </w:r>
    </w:p>
    <w:p w14:paraId="325B1CB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专业认证：</w:t>
      </w:r>
      <w:r>
        <w:rPr>
          <w:rFonts w:hint="eastAsia" w:ascii="宋体" w:hAnsi="宋体"/>
          <w:sz w:val="24"/>
          <w:szCs w:val="24"/>
        </w:rPr>
        <w:t>体验教育（台湾）、团队引导技术（ICA Institute of Cultural Affairs）、日产训（中国）MTP-TTT（6单元版）认证</w:t>
      </w:r>
    </w:p>
    <w:p w14:paraId="6C6A2F49">
      <w:pPr>
        <w:tabs>
          <w:tab w:val="left" w:pos="1080"/>
        </w:tabs>
        <w:adjustRightInd w:val="0"/>
        <w:snapToGrid w:val="0"/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客座教授：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清华、北大、中大、浙大、华南理工、南昌大学、南开大学、深圳大学、武汉大学MBA/EMBA</w:t>
      </w:r>
    </w:p>
    <w:p w14:paraId="40A4FF4D">
      <w:pPr>
        <w:tabs>
          <w:tab w:val="left" w:pos="1080"/>
        </w:tabs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</w:p>
    <w:p w14:paraId="14E30983">
      <w:pPr>
        <w:tabs>
          <w:tab w:val="left" w:pos="1080"/>
        </w:tabs>
        <w:adjustRightInd w:val="0"/>
        <w:snapToGrid w:val="0"/>
        <w:spacing w:line="480" w:lineRule="exact"/>
        <w:rPr>
          <w:rFonts w:hint="eastAsia" w:ascii="宋体" w:hAns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实战</w:t>
      </w:r>
      <w:r>
        <w:rPr>
          <w:rFonts w:ascii="宋体" w:hAnsi="宋体" w:cs="宋体"/>
          <w:b/>
          <w:color w:val="000000"/>
          <w:sz w:val="24"/>
          <w:szCs w:val="24"/>
        </w:rPr>
        <w:t>经验：</w:t>
      </w:r>
    </w:p>
    <w:p w14:paraId="64F0A694"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通信行业管理专家，</w:t>
      </w:r>
      <w:r>
        <w:rPr>
          <w:rFonts w:hint="eastAsia" w:ascii="宋体" w:hAnsi="宋体" w:cs="宋体"/>
          <w:b/>
          <w:color w:val="000000"/>
          <w:sz w:val="24"/>
          <w:szCs w:val="24"/>
        </w:rPr>
        <w:t>亲历邮政、电信分家，寻呼剥离，中国移动组建与上市</w:t>
      </w:r>
      <w:r>
        <w:rPr>
          <w:rFonts w:hint="eastAsia" w:ascii="宋体" w:hAnsi="宋体" w:cs="宋体"/>
          <w:color w:val="000000"/>
          <w:sz w:val="24"/>
          <w:szCs w:val="24"/>
        </w:rPr>
        <w:t>。掌握中国无线运营商拆分、并购、变革发展全部轨迹。</w:t>
      </w:r>
    </w:p>
    <w:p w14:paraId="7F335A3F">
      <w:pPr>
        <w:spacing w:line="480" w:lineRule="exact"/>
        <w:ind w:firstLine="482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世界5</w:t>
      </w:r>
      <w:r>
        <w:rPr>
          <w:rFonts w:ascii="宋体" w:hAnsi="宋体"/>
          <w:b/>
          <w:sz w:val="24"/>
          <w:szCs w:val="24"/>
        </w:rPr>
        <w:t>00</w:t>
      </w:r>
      <w:r>
        <w:rPr>
          <w:rFonts w:hint="eastAsia" w:ascii="宋体" w:hAnsi="宋体"/>
          <w:b/>
          <w:sz w:val="24"/>
          <w:szCs w:val="24"/>
        </w:rPr>
        <w:t>强高管</w:t>
      </w:r>
      <w:r>
        <w:rPr>
          <w:rFonts w:hint="eastAsia" w:ascii="宋体" w:hAnsi="宋体"/>
          <w:sz w:val="24"/>
          <w:szCs w:val="24"/>
        </w:rPr>
        <w:t>工作经历，</w:t>
      </w:r>
      <w:r>
        <w:rPr>
          <w:rFonts w:hint="eastAsia" w:ascii="宋体" w:hAnsi="宋体" w:cs="宋体"/>
          <w:color w:val="000000"/>
          <w:sz w:val="24"/>
          <w:szCs w:val="24"/>
        </w:rPr>
        <w:t>擅长互联网+时代战略人力资源管理、系统设计与落地方案，深受全国众多企业的欢迎。</w:t>
      </w:r>
    </w:p>
    <w:p w14:paraId="701A24F6">
      <w:pPr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——设计香港电信与广东中国移动合资公司润迅通信的集团人力配置</w:t>
      </w:r>
    </w:p>
    <w:p w14:paraId="3608D7CC">
      <w:pPr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——主持深圳波导实业有限公司组织顶层设计</w:t>
      </w:r>
    </w:p>
    <w:p w14:paraId="0C4B6C47">
      <w:pPr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——规划深圳市途径汽车有限公司/长春一汽的全套平衡管理模式</w:t>
      </w:r>
    </w:p>
    <w:p w14:paraId="448597FD">
      <w:pPr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——主导西安地铁胜任力素质模型与培训规划项目，南京地铁职业生涯规划项目</w:t>
      </w:r>
    </w:p>
    <w:p w14:paraId="5424A797">
      <w:pPr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——互联网+背景下国有企业组织“混改模式”与架构重置：广东中国移动薪酬对标与改革、国家电网的组织改革、一拖集团的人力成本解析、湖南烟草团队设计。</w:t>
      </w:r>
    </w:p>
    <w:p w14:paraId="1D3E2E2A">
      <w:pPr>
        <w:adjustRightInd w:val="0"/>
        <w:snapToGrid w:val="0"/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——利用行动学习、教练技术承担并有效推进广东省中国移动的绩效薪酬改革项目、广西省农商行的企业文化、员工职业生涯发展项目。</w:t>
      </w:r>
    </w:p>
    <w:p w14:paraId="757DC0B8">
      <w:pPr>
        <w:adjustRightInd w:val="0"/>
        <w:snapToGrid w:val="0"/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——20年如一日探索组织发展与顶层设计，60000次全国各行业学员共同见证</w:t>
      </w:r>
    </w:p>
    <w:p w14:paraId="74574D46">
      <w:pPr>
        <w:tabs>
          <w:tab w:val="left" w:pos="931"/>
        </w:tabs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</w:p>
    <w:p w14:paraId="543C6F23">
      <w:pPr>
        <w:tabs>
          <w:tab w:val="left" w:pos="931"/>
        </w:tabs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主讲课程：</w:t>
      </w:r>
    </w:p>
    <w:p w14:paraId="088AD14B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《大数据时代人力资源视野》</w:t>
      </w:r>
    </w:p>
    <w:p w14:paraId="0D6C13F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《企业文化与企业战略——落地方案》</w:t>
      </w:r>
    </w:p>
    <w:p w14:paraId="74937199">
      <w:pPr>
        <w:spacing w:line="480" w:lineRule="exact"/>
        <w:jc w:val="left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《教练型六维领导力——从业务走向管理》</w:t>
      </w:r>
    </w:p>
    <w:p w14:paraId="7D88637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《TRACC人力资本领导力——如何带团队成功》</w:t>
      </w:r>
    </w:p>
    <w:p w14:paraId="745D8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《AI赋能HR——DeepSeek在人力资源全场景应用》</w:t>
      </w:r>
    </w:p>
    <w:p w14:paraId="4DED217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《AI赋能领导力与组织管理——六驱模型重塑未来组织》</w:t>
      </w:r>
    </w:p>
    <w:p w14:paraId="2AC7CC1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《AI赋能组织发展OD与组织变革——DeepseekVS教练》</w:t>
      </w:r>
    </w:p>
    <w:p w14:paraId="2E468C9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《成为教练型管理者——赋能团队、激活绩效的关键领导力跃迁》</w:t>
      </w:r>
    </w:p>
    <w:p w14:paraId="11BF659F">
      <w:pPr>
        <w:spacing w:line="480" w:lineRule="exact"/>
        <w:rPr>
          <w:rFonts w:hint="eastAsia" w:ascii="宋体" w:hAnsi="宋体"/>
          <w:sz w:val="24"/>
          <w:szCs w:val="24"/>
        </w:rPr>
      </w:pPr>
    </w:p>
    <w:p w14:paraId="43366C72">
      <w:pPr>
        <w:spacing w:line="480" w:lineRule="exact"/>
        <w:rPr>
          <w:rFonts w:hint="eastAsia"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部分服务客户：</w:t>
      </w:r>
    </w:p>
    <w:p w14:paraId="19EB172D">
      <w:pPr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通信行业：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中国移动河北省各分公司、湖北省移动、山西省移动、四川省移动、河南省移动、江苏省移动、广东移动客服中心、北京移动、北京联通、怒江移动、深圳移动（2期）、广州移动（3期）、东莞移动、中山移动、哈尔滨移动、贵阳移动、鄂尔多斯移动、焦作移动（5期）、杭州移动、山东移动、迪庆移动、沧州移动、商丘移动、重庆移动、河北电信、昆明电信、广东电信、广西电信、云南电信、陕西电信、上海电信局、厦门联通、湖北联通、深圳市中兴通讯、杭州瑞通集团、杭州国信通信公司、沈阳奥维通信集团、广东美晨通讯、广西钦龙通讯……</w:t>
      </w:r>
    </w:p>
    <w:p w14:paraId="6AE4D0F1">
      <w:pPr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金融行业：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广州邮政、河南邮政、信阳邮政、中国银行、工商银行、招商银行、建设银行、台州农商行（6期）、成都农商行、临海农商行、吴江农商行、瑞安农商行、扬州农商行、上海农行、梅州农行、合肥农行、绍兴农行（3期）、临海农行、长春农行、杭州农行、浙江农行、舟山农行、台州农行、南海农行、长沙农行、临海农行、烟台农行、珠海农行、佛山农行(2期)、北京中行、扬州中行、西藏中行、南海工行、南沙工行、深圳建行（9期）、福州建行、济宁农信社、吴起农信社、延安农信社、泰安农信社、横山农信社、平阳农信社、苏州交行、福州邮储、重庆邮储、深圳中信银行、杭州联合银行、广发证券、国海证券、宁波人保、阳光保险、河北生命人寿、浙江银协、横山农村合作银行、黑河农商行……</w:t>
      </w:r>
    </w:p>
    <w:p w14:paraId="6730A536">
      <w:pPr>
        <w:spacing w:line="48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地产行业：</w:t>
      </w:r>
      <w:r>
        <w:rPr>
          <w:rFonts w:hint="eastAsia" w:ascii="宋体" w:hAnsi="宋体" w:cs="宋体"/>
          <w:color w:val="000000"/>
          <w:sz w:val="24"/>
          <w:szCs w:val="24"/>
        </w:rPr>
        <w:t>徐州保利地产、深圳华润置地、 青海新千房地产、东莞光大房地产、广州地铁房地产事业总部、汉京集团、深圳市南山房地产开发公司、南京新城亿欣房地产开发公司</w:t>
      </w:r>
    </w:p>
    <w:p w14:paraId="503EE59A">
      <w:pPr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保险行业：</w:t>
      </w:r>
      <w:r>
        <w:rPr>
          <w:rFonts w:hint="eastAsia" w:ascii="宋体" w:hAnsi="宋体" w:cs="宋体"/>
          <w:color w:val="000000"/>
          <w:sz w:val="24"/>
          <w:szCs w:val="24"/>
        </w:rPr>
        <w:t>平安人寿、 泰康人寿、太平人寿、太平财产保险、平安财产保险、平安普惠、平安保险、中国人寿、宁波人保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……</w:t>
      </w:r>
    </w:p>
    <w:p w14:paraId="17FB2EBF">
      <w:pPr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石油/能源业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：延长石油、中海油能源公司、中国石油天然气、乌鲁木齐石化、中国石油化工油田、中国神华胜利能源分公司</w:t>
      </w:r>
    </w:p>
    <w:p w14:paraId="1A3D1B26">
      <w:pPr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电力、水力行业：</w:t>
      </w:r>
      <w:r>
        <w:rPr>
          <w:rFonts w:hint="eastAsia" w:ascii="宋体" w:hAnsi="宋体" w:cs="宋体"/>
          <w:color w:val="000000"/>
          <w:sz w:val="24"/>
          <w:szCs w:val="24"/>
        </w:rPr>
        <w:t>山东电网、南方电网、甘肃电网、浙江能源集团、余杭电力、杭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州电力、四川电力、德青供电局、杭州供电局、佛山供电局、新安江水力发电厂、中国水电五局、水电八局、光大水务、成都排水</w:t>
      </w:r>
    </w:p>
    <w:p w14:paraId="35473867">
      <w:pPr>
        <w:spacing w:line="480" w:lineRule="exac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交通行业：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宁波栎社国际机场、广州市北二环高速公路公司、广西坛百高速公路公司、广西玉林高速公路、广西交通投资集团、东风乘用车公司、南方航空、沈阳飞机研究所、 中国航空工业集团、郑州机场集团、东航实业集团、西安地铁、南京地铁、宁波栎社机场、航空工业南京机电……</w:t>
      </w:r>
    </w:p>
    <w:p w14:paraId="084B98B8">
      <w:pPr>
        <w:spacing w:line="480" w:lineRule="exact"/>
        <w:rPr>
          <w:rFonts w:hint="eastAsia" w:ascii="宋体" w:hAns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建筑行业：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中国电建集团、中建交通建设集团、张家口第一建筑工程集团、山西建设投资集团、成都建工集团、中国华西企业股份、第十二建筑工程、中铁五局集团建筑工程、湖北工业建筑集团、北京中建、西南有色昆明勘测设计（院）、昆明勘测设计院、 中建二局、杭州中天三建、苏州保障性住房建设公司、安徽中煤建设集团……</w:t>
      </w:r>
    </w:p>
    <w:p w14:paraId="572E8164">
      <w:pPr>
        <w:spacing w:line="480" w:lineRule="exact"/>
        <w:rPr>
          <w:rFonts w:hint="eastAsia" w:ascii="宋体" w:hAns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</w:rPr>
        <w:t>外资企业：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（深圳）美资史丹利百得、（广州）美资企业AVERYDENNISON、（杭州）法资企业威立雅（中国）环境服务有限公司、广州日立电梯……</w:t>
      </w:r>
    </w:p>
    <w:p w14:paraId="2E26BC29">
      <w:pPr>
        <w:tabs>
          <w:tab w:val="left" w:pos="931"/>
        </w:tabs>
        <w:spacing w:line="4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F0D3AC7">
      <w:pPr>
        <w:tabs>
          <w:tab w:val="left" w:pos="931"/>
        </w:tabs>
        <w:spacing w:line="460" w:lineRule="exact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部分授课照片：</w:t>
      </w:r>
    </w:p>
    <w:tbl>
      <w:tblPr>
        <w:tblStyle w:val="8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4813"/>
      </w:tblGrid>
      <w:tr w14:paraId="7E47D61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9949B84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" name="图片 2" descr="971bb226ea3e4ba37a608dce19355f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71bb226ea3e4ba37a608dce19355f9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351EEBC6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" name="图片 6" descr="b45e7c4df68c93f52846ad226b5e4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45e7c4df68c93f52846ad226b5e45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1ED22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24ECC497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内蒙古伊利实业公司</w:t>
            </w:r>
          </w:p>
          <w:p w14:paraId="2A3E8A22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《情商领导力》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3C45F373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公开课</w:t>
            </w:r>
          </w:p>
          <w:p w14:paraId="629945FC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《企业文化工作坊》</w:t>
            </w:r>
          </w:p>
        </w:tc>
      </w:tr>
      <w:tr w14:paraId="34CE6C4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126FFFF4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45" name="图片 45" descr="01af646eb7ad2275f05e49ffc4b4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01af646eb7ad2275f05e49ffc4b45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6DBADD73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9" name="图片 9" descr="787514927d70d52841662d0b70830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787514927d70d52841662d0b708303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9DFD9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6E1BCD9B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珠海总裁班</w:t>
            </w:r>
          </w:p>
          <w:p w14:paraId="3BABA4E7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《全面薪酬体系设计》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42E1F37B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中国水利水电第四工程局有限公司</w:t>
            </w:r>
          </w:p>
          <w:p w14:paraId="71468D0C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《组织人才与绩效考核》</w:t>
            </w:r>
          </w:p>
        </w:tc>
      </w:tr>
      <w:tr w14:paraId="55F90BC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A1784C4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1" name="图片 11" descr="a1b2ae528d57aa4b651de0ad90dd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a1b2ae528d57aa4b651de0ad90dd70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34D4265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42" name="图片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C64A5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4E46EC59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中国南方航空股份有限公司新疆分公司</w:t>
            </w:r>
          </w:p>
          <w:p w14:paraId="11E5FE9B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《行动学习绩效管理》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3F6545D8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太原公开课</w:t>
            </w:r>
          </w:p>
          <w:p w14:paraId="2B353887">
            <w:pPr>
              <w:tabs>
                <w:tab w:val="left" w:pos="931"/>
              </w:tabs>
              <w:spacing w:line="360" w:lineRule="exact"/>
              <w:jc w:val="center"/>
              <w:rPr>
                <w:rFonts w:hint="eastAsia" w:ascii="Wingdings" w:hAnsi="Wingdings" w:cs="Wingdings"/>
                <w:szCs w:val="21"/>
              </w:rPr>
            </w:pPr>
            <w:r>
              <w:rPr>
                <w:rFonts w:hint="eastAsia" w:ascii="Wingdings" w:hAnsi="Wingdings" w:cs="Wingdings"/>
                <w:szCs w:val="21"/>
              </w:rPr>
              <w:t>《年度人力资源规划》</w:t>
            </w:r>
          </w:p>
        </w:tc>
      </w:tr>
      <w:tr w14:paraId="43F77E8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91EC764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4" name="图片 4" descr="DSC_0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SC_064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CD434BA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rPr>
                <w:rFonts w:hint="eastAsia" w:ascii="Cambria" w:hAnsi="Cambria" w:cs="Cambria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0" name="图片 10" descr="68b9465bc6cf99227e2e01ce37ae9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68b9465bc6cf99227e2e01ce37ae91b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FC1DD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8BE4C1A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中移铁通云南分公司</w:t>
            </w:r>
          </w:p>
          <w:p w14:paraId="077A3E5E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《智能技术驱动HR转型与员工留存》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7B7431C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滦州伊利乳业有限责任公司</w:t>
            </w:r>
          </w:p>
          <w:p w14:paraId="4C967465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《反思领导力》</w:t>
            </w:r>
          </w:p>
        </w:tc>
      </w:tr>
      <w:tr w14:paraId="57E0D6F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D1157BB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rPr>
                <w:rFonts w:hint="eastAsia" w:ascii="Cambria" w:hAnsi="Cambria" w:cs="Cambria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" name="图片 7" descr="e17c0b4a434d22bd7d4e890bc234e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e17c0b4a434d22bd7d4e890bc234eac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D5F9B96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0" name="图片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48891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67A34C71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中国电信东莞分公司</w:t>
            </w:r>
          </w:p>
          <w:p w14:paraId="7EB88A47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《片区招聘与员工留存实战营》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89DAFF8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公开课</w:t>
            </w:r>
          </w:p>
          <w:p w14:paraId="24747F68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《科学的任职资格管理与人才梯队建设》</w:t>
            </w:r>
          </w:p>
        </w:tc>
      </w:tr>
      <w:tr w14:paraId="685586F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DC09FDD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rPr>
                <w:rFonts w:hint="eastAsia" w:ascii="Cambria" w:hAnsi="Cambria" w:cs="Cambria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8" name="图片 8" descr="0ba03d964a9b8fce3c803b2e646a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0ba03d964a9b8fce3c803b2e646a13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31C1869A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3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96222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342723A5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霍煤鸿骏铝电公司</w:t>
            </w:r>
          </w:p>
          <w:p w14:paraId="5C8F4516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《AI职场应用Deepseek赋能人力资源提质增效》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F5A3627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太原公开课</w:t>
            </w:r>
          </w:p>
          <w:p w14:paraId="42DC7C37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《如何为员工进行职业生涯规划》</w:t>
            </w:r>
          </w:p>
        </w:tc>
      </w:tr>
      <w:tr w14:paraId="559F1A3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DA9C3CE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9" name="图片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4C99D29">
            <w:pPr>
              <w:tabs>
                <w:tab w:val="left" w:pos="931"/>
              </w:tabs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29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B6BBF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3BE8906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中国邮政储蓄银行</w:t>
            </w:r>
          </w:p>
          <w:p w14:paraId="4F9B967A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《企业文化打造》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1EE8A45C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杭州市邮政管理局</w:t>
            </w:r>
          </w:p>
          <w:p w14:paraId="5DF60F53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《非人力资源的人力资源管理》</w:t>
            </w:r>
          </w:p>
        </w:tc>
      </w:tr>
      <w:tr w14:paraId="6B92F9B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454EFC1">
            <w:pPr>
              <w:tabs>
                <w:tab w:val="left" w:pos="931"/>
              </w:tabs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28" name="图片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97EABD5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rPr>
                <w:rFonts w:hint="eastAsia" w:ascii="Cambria" w:hAnsi="Cambria" w:cs="Cambria"/>
                <w:b/>
                <w:bCs/>
                <w:sz w:val="24"/>
                <w:szCs w:val="24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" name="图片 5" descr="7d0bb234402e87e167b90ffd3dbc29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d0bb234402e87e167b90ffd3dbc29ef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AB7B6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08304E7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昆明农信社</w:t>
            </w:r>
          </w:p>
          <w:p w14:paraId="3D5FCB8A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《岗位梳理</w:t>
            </w:r>
            <w:r>
              <w:rPr>
                <w:rFonts w:ascii="Cambria" w:hAnsi="Cambria" w:cs="Cambria"/>
                <w:szCs w:val="21"/>
              </w:rPr>
              <w:t>-</w:t>
            </w:r>
            <w:r>
              <w:rPr>
                <w:rFonts w:hint="eastAsia" w:ascii="Cambria" w:hAnsi="Cambria" w:cs="Cambria"/>
                <w:szCs w:val="21"/>
              </w:rPr>
              <w:t>绩效落地辅导》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1F103AC3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公开课</w:t>
            </w:r>
          </w:p>
          <w:p w14:paraId="4CAB10AC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《社保新政应对与企业合规管理》</w:t>
            </w:r>
          </w:p>
        </w:tc>
      </w:tr>
      <w:tr w14:paraId="66CEA33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22AA5EB0">
            <w:pPr>
              <w:tabs>
                <w:tab w:val="left" w:pos="931"/>
              </w:tabs>
              <w:jc w:val="center"/>
              <w:rPr>
                <w:rFonts w:hint="eastAsia" w:ascii="Wingdings" w:hAnsi="Wingdings" w:cs="Wingdings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40" name="图片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CFF3CDB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2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324AB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2058EA13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深圳平安普惠深圳分公司</w:t>
            </w:r>
          </w:p>
          <w:p w14:paraId="0E189400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《高效招聘面试技巧》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FF28736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北京移动</w:t>
            </w:r>
          </w:p>
          <w:p w14:paraId="7639F9D5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《心理学在人力资源中的应用》</w:t>
            </w:r>
          </w:p>
        </w:tc>
      </w:tr>
      <w:tr w14:paraId="41A7753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968ABA4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6" name="图片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F8D7AAA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34" name="图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2389E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047C3CC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佛山智联招聘</w:t>
            </w:r>
          </w:p>
          <w:p w14:paraId="6C2F51A2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《胜任力素质模型》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6E5B9C99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吕梁鑫飞集团某能源企业</w:t>
            </w:r>
          </w:p>
          <w:p w14:paraId="4B939763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《平衡管理模式落地》</w:t>
            </w:r>
          </w:p>
        </w:tc>
      </w:tr>
      <w:tr w14:paraId="5B8BDEE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66E5410">
            <w:pPr>
              <w:tabs>
                <w:tab w:val="left" w:pos="931"/>
              </w:tabs>
              <w:jc w:val="center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27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19BA814">
            <w:pPr>
              <w:tabs>
                <w:tab w:val="left" w:pos="931"/>
              </w:tabs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>
              <w:drawing>
                <wp:inline distT="0" distB="0" distL="0" distR="0">
                  <wp:extent cx="2760980" cy="2019300"/>
                  <wp:effectExtent l="0" t="0" r="1270" b="0"/>
                  <wp:docPr id="26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F27A9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1FF43E3C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江苏光大水务企业</w:t>
            </w:r>
          </w:p>
          <w:p w14:paraId="78043B3E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《人才盘点与人才体系建设》</w:t>
            </w:r>
          </w:p>
        </w:tc>
        <w:tc>
          <w:tcPr>
            <w:tcW w:w="481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561A33F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广州上药控股</w:t>
            </w:r>
          </w:p>
          <w:p w14:paraId="1DC08D1E">
            <w:pPr>
              <w:tabs>
                <w:tab w:val="left" w:pos="931"/>
              </w:tabs>
              <w:spacing w:line="360" w:lineRule="exact"/>
              <w:jc w:val="center"/>
              <w:rPr>
                <w:rFonts w:ascii="Cambria" w:hAnsi="Cambria" w:cs="Cambria"/>
                <w:szCs w:val="21"/>
              </w:rPr>
            </w:pPr>
            <w:r>
              <w:rPr>
                <w:rFonts w:hint="eastAsia" w:ascii="Cambria" w:hAnsi="Cambria" w:cs="Cambria"/>
                <w:szCs w:val="21"/>
              </w:rPr>
              <w:t>《人才盘点与人才体系建设》</w:t>
            </w:r>
          </w:p>
        </w:tc>
      </w:tr>
    </w:tbl>
    <w:p w14:paraId="3755994B">
      <w:pPr>
        <w:tabs>
          <w:tab w:val="left" w:pos="931"/>
        </w:tabs>
        <w:spacing w:line="460" w:lineRule="exact"/>
        <w:rPr>
          <w:rFonts w:hint="eastAsia" w:ascii="宋体" w:hAnsi="宋体" w:cs="宋体"/>
          <w:b/>
          <w:bCs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movePersonalInformation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519"/>
    <w:rsid w:val="00020983"/>
    <w:rsid w:val="000268F1"/>
    <w:rsid w:val="0002709D"/>
    <w:rsid w:val="00044C77"/>
    <w:rsid w:val="00071009"/>
    <w:rsid w:val="00085E8C"/>
    <w:rsid w:val="00093A76"/>
    <w:rsid w:val="000B414C"/>
    <w:rsid w:val="000E0E00"/>
    <w:rsid w:val="0010684C"/>
    <w:rsid w:val="00111449"/>
    <w:rsid w:val="00114E45"/>
    <w:rsid w:val="0011614E"/>
    <w:rsid w:val="00147824"/>
    <w:rsid w:val="00147AC4"/>
    <w:rsid w:val="001532A7"/>
    <w:rsid w:val="00161F92"/>
    <w:rsid w:val="00172A27"/>
    <w:rsid w:val="00172D3D"/>
    <w:rsid w:val="00177682"/>
    <w:rsid w:val="00183AB5"/>
    <w:rsid w:val="00183D1A"/>
    <w:rsid w:val="00195F96"/>
    <w:rsid w:val="001A335A"/>
    <w:rsid w:val="001D17CA"/>
    <w:rsid w:val="001D5E78"/>
    <w:rsid w:val="001E7C3C"/>
    <w:rsid w:val="00213E4B"/>
    <w:rsid w:val="00245DB5"/>
    <w:rsid w:val="00290BC2"/>
    <w:rsid w:val="002A60FE"/>
    <w:rsid w:val="002A7A1B"/>
    <w:rsid w:val="002C582A"/>
    <w:rsid w:val="003053BD"/>
    <w:rsid w:val="003123E0"/>
    <w:rsid w:val="0032035C"/>
    <w:rsid w:val="003342D5"/>
    <w:rsid w:val="00354CD8"/>
    <w:rsid w:val="00355112"/>
    <w:rsid w:val="00360A70"/>
    <w:rsid w:val="00366751"/>
    <w:rsid w:val="00366E79"/>
    <w:rsid w:val="00370AC3"/>
    <w:rsid w:val="0037639B"/>
    <w:rsid w:val="00385DE0"/>
    <w:rsid w:val="003B6555"/>
    <w:rsid w:val="003C45C8"/>
    <w:rsid w:val="003D7C3A"/>
    <w:rsid w:val="003E7454"/>
    <w:rsid w:val="003F7930"/>
    <w:rsid w:val="0043634D"/>
    <w:rsid w:val="00445D0A"/>
    <w:rsid w:val="004647F5"/>
    <w:rsid w:val="004673D6"/>
    <w:rsid w:val="004D6794"/>
    <w:rsid w:val="004F6E4D"/>
    <w:rsid w:val="005463EA"/>
    <w:rsid w:val="00552072"/>
    <w:rsid w:val="00560450"/>
    <w:rsid w:val="005A2C2F"/>
    <w:rsid w:val="005E2B7A"/>
    <w:rsid w:val="005E2BC0"/>
    <w:rsid w:val="006601B2"/>
    <w:rsid w:val="0067153A"/>
    <w:rsid w:val="00684920"/>
    <w:rsid w:val="00687A8B"/>
    <w:rsid w:val="0069571A"/>
    <w:rsid w:val="006A6B45"/>
    <w:rsid w:val="006B13C3"/>
    <w:rsid w:val="006B34DD"/>
    <w:rsid w:val="006B3658"/>
    <w:rsid w:val="006C1ADE"/>
    <w:rsid w:val="006C1D61"/>
    <w:rsid w:val="006E5082"/>
    <w:rsid w:val="006E6578"/>
    <w:rsid w:val="006F09E6"/>
    <w:rsid w:val="006F78E0"/>
    <w:rsid w:val="007007C0"/>
    <w:rsid w:val="00702802"/>
    <w:rsid w:val="00711673"/>
    <w:rsid w:val="0072401B"/>
    <w:rsid w:val="00726909"/>
    <w:rsid w:val="00736D3D"/>
    <w:rsid w:val="0074096F"/>
    <w:rsid w:val="00750484"/>
    <w:rsid w:val="007640EC"/>
    <w:rsid w:val="00794D97"/>
    <w:rsid w:val="007D30B4"/>
    <w:rsid w:val="007E0295"/>
    <w:rsid w:val="007E675A"/>
    <w:rsid w:val="007F456F"/>
    <w:rsid w:val="007F4E33"/>
    <w:rsid w:val="008178F1"/>
    <w:rsid w:val="00823818"/>
    <w:rsid w:val="00827DE9"/>
    <w:rsid w:val="008530AB"/>
    <w:rsid w:val="00872B70"/>
    <w:rsid w:val="008852BE"/>
    <w:rsid w:val="008C2C67"/>
    <w:rsid w:val="008F00A6"/>
    <w:rsid w:val="00901406"/>
    <w:rsid w:val="009053F3"/>
    <w:rsid w:val="00907165"/>
    <w:rsid w:val="00914E73"/>
    <w:rsid w:val="00951DC7"/>
    <w:rsid w:val="00955D4C"/>
    <w:rsid w:val="009564BC"/>
    <w:rsid w:val="00967735"/>
    <w:rsid w:val="00980613"/>
    <w:rsid w:val="00984BB6"/>
    <w:rsid w:val="00985493"/>
    <w:rsid w:val="00992928"/>
    <w:rsid w:val="009A0AE2"/>
    <w:rsid w:val="009A40B7"/>
    <w:rsid w:val="009B1B3C"/>
    <w:rsid w:val="009B1C9E"/>
    <w:rsid w:val="009B5C0C"/>
    <w:rsid w:val="009D3988"/>
    <w:rsid w:val="009D745D"/>
    <w:rsid w:val="009F0C3D"/>
    <w:rsid w:val="009F4AB9"/>
    <w:rsid w:val="00A06BAF"/>
    <w:rsid w:val="00A076DD"/>
    <w:rsid w:val="00A23D4D"/>
    <w:rsid w:val="00A26DC4"/>
    <w:rsid w:val="00A367BF"/>
    <w:rsid w:val="00A828DA"/>
    <w:rsid w:val="00A83874"/>
    <w:rsid w:val="00AB25A4"/>
    <w:rsid w:val="00AD5C3C"/>
    <w:rsid w:val="00AF30C0"/>
    <w:rsid w:val="00B11E1A"/>
    <w:rsid w:val="00B55201"/>
    <w:rsid w:val="00B64680"/>
    <w:rsid w:val="00B85144"/>
    <w:rsid w:val="00B954BD"/>
    <w:rsid w:val="00BC1FBE"/>
    <w:rsid w:val="00BC4EF3"/>
    <w:rsid w:val="00BD66FA"/>
    <w:rsid w:val="00BE55C0"/>
    <w:rsid w:val="00BF5795"/>
    <w:rsid w:val="00C01B16"/>
    <w:rsid w:val="00C050C1"/>
    <w:rsid w:val="00C11BF4"/>
    <w:rsid w:val="00C1222D"/>
    <w:rsid w:val="00C308C4"/>
    <w:rsid w:val="00C319EF"/>
    <w:rsid w:val="00C6300A"/>
    <w:rsid w:val="00C655DE"/>
    <w:rsid w:val="00C81764"/>
    <w:rsid w:val="00C843EE"/>
    <w:rsid w:val="00C87772"/>
    <w:rsid w:val="00C9474E"/>
    <w:rsid w:val="00C968B3"/>
    <w:rsid w:val="00CA121B"/>
    <w:rsid w:val="00CD2751"/>
    <w:rsid w:val="00D26668"/>
    <w:rsid w:val="00D377B6"/>
    <w:rsid w:val="00D479E6"/>
    <w:rsid w:val="00D65180"/>
    <w:rsid w:val="00D7230C"/>
    <w:rsid w:val="00D9526E"/>
    <w:rsid w:val="00DA42FE"/>
    <w:rsid w:val="00DC105C"/>
    <w:rsid w:val="00DD44F6"/>
    <w:rsid w:val="00E26694"/>
    <w:rsid w:val="00E44F6C"/>
    <w:rsid w:val="00E45DD9"/>
    <w:rsid w:val="00E5063F"/>
    <w:rsid w:val="00E705D9"/>
    <w:rsid w:val="00E7241C"/>
    <w:rsid w:val="00E72DA1"/>
    <w:rsid w:val="00EA046B"/>
    <w:rsid w:val="00EA1985"/>
    <w:rsid w:val="00EA7365"/>
    <w:rsid w:val="00EB403B"/>
    <w:rsid w:val="00F11065"/>
    <w:rsid w:val="00F15EBA"/>
    <w:rsid w:val="00F16C6A"/>
    <w:rsid w:val="00F258C1"/>
    <w:rsid w:val="00F26F30"/>
    <w:rsid w:val="00F51C53"/>
    <w:rsid w:val="00F632E8"/>
    <w:rsid w:val="00F653FF"/>
    <w:rsid w:val="00F67E8A"/>
    <w:rsid w:val="00F82A9C"/>
    <w:rsid w:val="00F87D0D"/>
    <w:rsid w:val="00FA20B0"/>
    <w:rsid w:val="00FB0D5F"/>
    <w:rsid w:val="00FB0EDE"/>
    <w:rsid w:val="00FB274A"/>
    <w:rsid w:val="00FF3100"/>
    <w:rsid w:val="1809187D"/>
    <w:rsid w:val="1934349F"/>
    <w:rsid w:val="1FD84D12"/>
    <w:rsid w:val="2DCB6037"/>
    <w:rsid w:val="338F25F5"/>
    <w:rsid w:val="382B0B7A"/>
    <w:rsid w:val="3FDF54AE"/>
    <w:rsid w:val="400B0329"/>
    <w:rsid w:val="4E806993"/>
    <w:rsid w:val="560D5C3D"/>
    <w:rsid w:val="61D57007"/>
    <w:rsid w:val="62700019"/>
    <w:rsid w:val="685A2DE8"/>
    <w:rsid w:val="6C1A20EB"/>
    <w:rsid w:val="78767EB1"/>
    <w:rsid w:val="7BE0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kern w:val="0"/>
      <w:sz w:val="18"/>
      <w:szCs w:val="18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link w:val="5"/>
    <w:qFormat/>
    <w:uiPriority w:val="0"/>
    <w:rPr>
      <w:sz w:val="18"/>
      <w:szCs w:val="18"/>
    </w:rPr>
  </w:style>
  <w:style w:type="character" w:customStyle="1" w:styleId="12">
    <w:name w:val="批注框文本 字符"/>
    <w:link w:val="3"/>
    <w:uiPriority w:val="0"/>
    <w:rPr>
      <w:sz w:val="18"/>
      <w:szCs w:val="18"/>
    </w:rPr>
  </w:style>
  <w:style w:type="character" w:customStyle="1" w:styleId="13">
    <w:name w:val="页脚 字符"/>
    <w:link w:val="4"/>
    <w:qFormat/>
    <w:uiPriority w:val="0"/>
    <w:rPr>
      <w:sz w:val="18"/>
      <w:szCs w:val="18"/>
    </w:rPr>
  </w:style>
  <w:style w:type="character" w:customStyle="1" w:styleId="14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字符"/>
    <w:link w:val="7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table" w:customStyle="1" w:styleId="18">
    <w:name w:val="_Style 17"/>
    <w:basedOn w:val="8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customStyle="1" w:styleId="1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2083</Words>
  <Characters>2175</Characters>
  <Lines>2</Lines>
  <Paragraphs>5</Paragraphs>
  <TotalTime>109</TotalTime>
  <ScaleCrop>false</ScaleCrop>
  <LinksUpToDate>false</LinksUpToDate>
  <CharactersWithSpaces>2186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2022-03-06T06:36:00Z</dcterms:created>
  <dcterms:modified xsi:type="dcterms:W3CDTF">2026-06-04T08:59:45Z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E8594CA92FC14406A8C9671559F69E76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