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123BE4F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b/>
          <w:sz w:val="32"/>
          <w:szCs w:val="32"/>
        </w:rPr>
      </w:pPr>
      <w:r>
        <w:rPr>
          <w:rFonts w:hint="eastAsia" w:eastAsia="宋体" w:cs="微软雅黑"/>
          <w:lang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4338320</wp:posOffset>
            </wp:positionH>
            <wp:positionV relativeFrom="paragraph">
              <wp:posOffset>-15240</wp:posOffset>
            </wp:positionV>
            <wp:extent cx="1935480" cy="2722245"/>
            <wp:effectExtent l="0" t="0" r="7620" b="1905"/>
            <wp:wrapSquare wrapText="bothSides"/>
            <wp:docPr id="22" name="图片 22" descr="97-杨文浩老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97-杨文浩老师"/>
                    <pic:cNvPicPr>
                      <a:picLocks noChangeAspect="1"/>
                    </pic:cNvPicPr>
                  </pic:nvPicPr>
                  <pic:blipFill>
                    <a:blip r:embed="rId4"/>
                    <a:srcRect l="5857" r="11251" b="22337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杨文浩老师 </w:t>
      </w:r>
      <w:r>
        <w:rPr>
          <w:rFonts w:hint="eastAsia"/>
          <w:b/>
          <w:sz w:val="32"/>
          <w:szCs w:val="32"/>
        </w:rPr>
        <w:t xml:space="preserve">  著名</w:t>
      </w:r>
      <w:r>
        <w:rPr>
          <w:b/>
          <w:sz w:val="32"/>
          <w:szCs w:val="32"/>
        </w:rPr>
        <w:t>人力资</w:t>
      </w:r>
      <w:r>
        <w:rPr>
          <w:rFonts w:hint="eastAsia"/>
          <w:b/>
          <w:sz w:val="32"/>
          <w:szCs w:val="32"/>
        </w:rPr>
        <w:t>本效能</w:t>
      </w:r>
      <w:r>
        <w:rPr>
          <w:b/>
          <w:sz w:val="32"/>
          <w:szCs w:val="32"/>
        </w:rPr>
        <w:t>专家</w:t>
      </w:r>
    </w:p>
    <w:p w14:paraId="779158E7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 w:cs="微软雅黑"/>
          <w:lang w:bidi="ar"/>
        </w:rPr>
      </w:pPr>
      <w:r>
        <w:rPr>
          <w:rFonts w:hint="eastAsia" w:cs="微软雅黑"/>
          <w:lang w:bidi="ar"/>
        </w:rPr>
        <w:t>国家高级人力资源管理师</w:t>
      </w:r>
    </w:p>
    <w:p w14:paraId="510879A5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 w:cs="微软雅黑"/>
          <w:lang w:bidi="ar"/>
        </w:rPr>
      </w:pPr>
      <w:r>
        <w:rPr>
          <w:rFonts w:hint="eastAsia" w:cs="微软雅黑"/>
          <w:lang w:bidi="ar"/>
        </w:rPr>
        <w:t>国家人力资源管理师一级考证讲师</w:t>
      </w:r>
    </w:p>
    <w:p w14:paraId="3083AD40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 w:cs="微软雅黑"/>
          <w:lang w:bidi="ar"/>
        </w:rPr>
      </w:pPr>
      <w:r>
        <w:rPr>
          <w:rFonts w:hint="eastAsia" w:cs="微软雅黑"/>
          <w:lang w:bidi="ar"/>
        </w:rPr>
        <w:t>高级心理咨询师/高级人才测评师/高级培训体系架构师</w:t>
      </w:r>
    </w:p>
    <w:p w14:paraId="75B63770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cs="微软雅黑"/>
          <w:lang w:bidi="ar"/>
        </w:rPr>
      </w:pPr>
      <w:r>
        <w:rPr>
          <w:rFonts w:hint="eastAsia" w:cs="微软雅黑"/>
          <w:lang w:bidi="ar"/>
        </w:rPr>
        <w:t>西安工业大学人力资源管理专业/</w:t>
      </w:r>
      <w:r>
        <w:rPr>
          <w:rFonts w:hint="eastAsia" w:cs="微软雅黑"/>
        </w:rPr>
        <w:t>香港财经学院MBA</w:t>
      </w:r>
    </w:p>
    <w:p w14:paraId="09AD89B0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cs="微软雅黑"/>
          <w:vertAlign w:val="subscript"/>
          <w:lang w:bidi="ar"/>
        </w:rPr>
      </w:pPr>
      <w:r>
        <w:rPr>
          <w:rFonts w:hint="eastAsia" w:cs="微软雅黑"/>
          <w:lang w:bidi="ar"/>
        </w:rPr>
        <w:t>极简绩效</w:t>
      </w:r>
      <w:r>
        <w:rPr>
          <w:rFonts w:hint="eastAsia" w:cs="微软雅黑"/>
          <w:vertAlign w:val="superscript"/>
          <w:lang w:bidi="ar"/>
        </w:rPr>
        <w:t>TM</w:t>
      </w:r>
      <w:r>
        <w:rPr>
          <w:rFonts w:hint="eastAsia" w:cs="微软雅黑"/>
          <w:lang w:bidi="ar"/>
        </w:rPr>
        <w:t>版权课程与极简绩效咨询项目原创导师</w:t>
      </w:r>
    </w:p>
    <w:p w14:paraId="1FDC42DB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 w:eastAsia="宋体" w:cs="微软雅黑"/>
          <w:lang w:eastAsia="zh-CN" w:bidi="ar"/>
        </w:rPr>
      </w:pPr>
      <w:r>
        <w:rPr>
          <w:rFonts w:hint="eastAsia" w:cs="微软雅黑"/>
          <w:lang w:bidi="ar"/>
        </w:rPr>
        <w:t>深圳市盐田区人事中心梧桐学院特聘讲师</w:t>
      </w:r>
    </w:p>
    <w:p w14:paraId="48F7057F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cs="微软雅黑"/>
        </w:rPr>
      </w:pPr>
      <w:r>
        <w:rPr>
          <w:rFonts w:hint="eastAsia" w:cs="微软雅黑"/>
        </w:rPr>
        <w:t>清华大学/上海交大/华中科技大学/武汉大学/吉林大学等</w:t>
      </w:r>
    </w:p>
    <w:p w14:paraId="4132BF0E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 w:cs="微软雅黑"/>
        </w:rPr>
      </w:pPr>
      <w:r>
        <w:rPr>
          <w:rFonts w:hint="eastAsia" w:cs="微软雅黑"/>
        </w:rPr>
        <w:t>人力资源管理特聘讲师</w:t>
      </w:r>
    </w:p>
    <w:p w14:paraId="065B3B4A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cs="微软雅黑"/>
        </w:rPr>
      </w:pPr>
      <w:r>
        <w:rPr>
          <w:b/>
          <w:bCs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4818380</wp:posOffset>
            </wp:positionH>
            <wp:positionV relativeFrom="paragraph">
              <wp:posOffset>227965</wp:posOffset>
            </wp:positionV>
            <wp:extent cx="1285875" cy="1581150"/>
            <wp:effectExtent l="0" t="0" r="9525" b="0"/>
            <wp:wrapSquare wrapText="bothSides"/>
            <wp:docPr id="2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3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="微软雅黑"/>
          <w:lang w:bidi="ar"/>
        </w:rPr>
        <w:t>22年的企业管理经验，历经国企、私企、外企、创业四重职业经历</w:t>
      </w:r>
    </w:p>
    <w:p w14:paraId="42E10888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 w:cs="微软雅黑"/>
        </w:rPr>
      </w:pPr>
      <w:r>
        <w:rPr>
          <w:rFonts w:hint="eastAsia" w:cs="微软雅黑"/>
          <w:b/>
          <w:bCs/>
        </w:rPr>
        <w:t>曾任：</w:t>
      </w:r>
      <w:r>
        <w:rPr>
          <w:rFonts w:hint="eastAsia" w:cs="微软雅黑"/>
        </w:rPr>
        <w:t>山西北方惠丰机电（中国兵器工业集团）丨人事主管</w:t>
      </w:r>
    </w:p>
    <w:p w14:paraId="24FC1F4C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 w:cs="微软雅黑"/>
        </w:rPr>
      </w:pPr>
      <w:r>
        <w:rPr>
          <w:rFonts w:hint="eastAsia" w:cs="微软雅黑"/>
          <w:b/>
          <w:bCs/>
        </w:rPr>
        <w:t>曾任：</w:t>
      </w:r>
      <w:r>
        <w:rPr>
          <w:rFonts w:hint="eastAsia" w:cs="微软雅黑"/>
        </w:rPr>
        <w:t>合口味食品集团丨人力资源总监</w:t>
      </w:r>
    </w:p>
    <w:p w14:paraId="4CC3AFA9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 w:cs="微软雅黑"/>
        </w:rPr>
      </w:pPr>
      <w:r>
        <w:rPr>
          <w:rFonts w:hint="eastAsia" w:cs="微软雅黑"/>
          <w:b/>
          <w:bCs/>
        </w:rPr>
        <w:t>曾任：</w:t>
      </w:r>
      <w:r>
        <w:rPr>
          <w:rFonts w:hint="eastAsia" w:cs="微软雅黑"/>
        </w:rPr>
        <w:t>金威啤酒酿造有限公司丨董事长秘书兼人力资源总监</w:t>
      </w:r>
      <w:bookmarkStart w:id="0" w:name="_GoBack"/>
      <w:bookmarkEnd w:id="0"/>
    </w:p>
    <w:p w14:paraId="6F550F84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 w:cs="微软雅黑"/>
        </w:rPr>
      </w:pPr>
      <w:r>
        <w:rPr>
          <w:rFonts w:hint="eastAsia" w:cs="微软雅黑"/>
        </w:rPr>
        <w:t>《HR赋能增效——企业人才梯队建构地图微项目课程》创始人</w:t>
      </w:r>
    </w:p>
    <w:p w14:paraId="2938D5FC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 w:cs="微软雅黑"/>
        </w:rPr>
      </w:pPr>
      <w:r>
        <w:rPr>
          <w:rFonts w:hint="eastAsia" w:cs="微软雅黑"/>
          <w:b/>
          <w:bCs/>
        </w:rPr>
        <w:t>畅销书籍：</w:t>
      </w:r>
      <w:r>
        <w:rPr>
          <w:rFonts w:hint="eastAsia" w:cs="微软雅黑"/>
        </w:rPr>
        <w:t>《强绩效模式——从零到一的绩效架构设计》</w:t>
      </w:r>
    </w:p>
    <w:p w14:paraId="0ECEDE08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cs="微软雅黑"/>
          <w:b/>
          <w:bCs/>
        </w:rPr>
      </w:pPr>
      <w:r>
        <w:rPr>
          <w:rFonts w:hint="eastAsia" w:cs="微软雅黑"/>
          <w:b/>
          <w:bCs/>
        </w:rPr>
        <w:t>版权课程：</w:t>
      </w:r>
      <w:r>
        <w:rPr>
          <w:rFonts w:hint="eastAsia" w:cs="微软雅黑"/>
        </w:rPr>
        <w:t>《极简绩效——管理者必备的绩效领导力》《赋能增效六元八表定绩效》《赋能增效新HR逻辑运营图》《盘明萃赋—关键人才盘点及梯队胜任力模型建构微咨询》《三效六力——极简</w:t>
      </w:r>
      <w:r>
        <w:rPr>
          <w:rFonts w:hint="eastAsia" w:cs="微软雅黑"/>
          <w:color w:val="000000"/>
        </w:rPr>
        <w:t>绩效领导力》《智驭人才四维矩阵沙盘》《赋能增效非人八诀》《六感心驱动-代际领导力》《巅峰重构-培训体系规划设计》《招财选将 人才致胜-金牌面试官认证训练营》等多门原创版权课程</w:t>
      </w:r>
    </w:p>
    <w:p w14:paraId="5B569B4F">
      <w:pPr>
        <w:pStyle w:val="4"/>
        <w:adjustRightInd w:val="0"/>
        <w:snapToGrid w:val="0"/>
        <w:spacing w:before="0" w:beforeAutospacing="0" w:after="0" w:afterAutospacing="0"/>
        <w:jc w:val="both"/>
        <w:rPr>
          <w:rFonts w:hint="eastAsia"/>
        </w:rPr>
      </w:pPr>
      <w:r>
        <w:drawing>
          <wp:inline distT="0" distB="0" distL="114300" distR="114300">
            <wp:extent cx="5228590" cy="2295525"/>
            <wp:effectExtent l="0" t="0" r="1016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49F2F">
      <w:pPr>
        <w:pStyle w:val="4"/>
        <w:adjustRightInd w:val="0"/>
        <w:snapToGrid w:val="0"/>
        <w:spacing w:before="0" w:beforeAutospacing="0" w:after="0" w:afterAutospacing="0" w:line="440" w:lineRule="exact"/>
        <w:jc w:val="both"/>
        <w:rPr>
          <w:rFonts w:hint="eastAsia"/>
          <w:b/>
        </w:rPr>
      </w:pPr>
    </w:p>
    <w:p w14:paraId="30DC85D3">
      <w:pPr>
        <w:pStyle w:val="4"/>
        <w:adjustRightInd w:val="0"/>
        <w:snapToGrid w:val="0"/>
        <w:spacing w:before="0" w:beforeAutospacing="0" w:after="0" w:afterAutospacing="0" w:line="440" w:lineRule="exact"/>
        <w:jc w:val="both"/>
        <w:rPr>
          <w:b/>
        </w:rPr>
      </w:pPr>
      <w:r>
        <w:rPr>
          <w:rFonts w:hint="eastAsia"/>
          <w:b/>
        </w:rPr>
        <w:t>实战</w:t>
      </w:r>
      <w:r>
        <w:rPr>
          <w:b/>
        </w:rPr>
        <w:t>经验：</w:t>
      </w:r>
    </w:p>
    <w:p w14:paraId="5969953C">
      <w:pPr>
        <w:pStyle w:val="4"/>
        <w:adjustRightInd w:val="0"/>
        <w:snapToGrid w:val="0"/>
        <w:spacing w:before="0" w:beforeAutospacing="0" w:after="0" w:afterAutospacing="0" w:line="440" w:lineRule="exact"/>
        <w:ind w:firstLine="482" w:firstLineChars="200"/>
        <w:jc w:val="both"/>
        <w:rPr>
          <w:rFonts w:cs="微软雅黑"/>
          <w:color w:val="000000"/>
        </w:rPr>
      </w:pPr>
      <w:r>
        <w:rPr>
          <w:rFonts w:cs="微软雅黑"/>
          <w:b/>
          <w:bCs/>
          <w:color w:val="000000"/>
        </w:rPr>
        <w:t>杨文浩老师</w:t>
      </w:r>
      <w:r>
        <w:rPr>
          <w:rFonts w:hint="eastAsia" w:cs="微软雅黑"/>
          <w:b/>
          <w:bCs/>
          <w:color w:val="000000"/>
        </w:rPr>
        <w:t>人力资源管理专业毕业，</w:t>
      </w:r>
      <w:r>
        <w:rPr>
          <w:rFonts w:cs="微软雅黑"/>
          <w:b/>
          <w:bCs/>
          <w:color w:val="000000"/>
        </w:rPr>
        <w:t>专注于人力资源管理</w:t>
      </w:r>
      <w:r>
        <w:rPr>
          <w:rFonts w:hint="eastAsia" w:cs="微软雅黑"/>
          <w:b/>
          <w:bCs/>
          <w:color w:val="000000"/>
        </w:rPr>
        <w:t>和人效提升</w:t>
      </w:r>
      <w:r>
        <w:rPr>
          <w:rFonts w:cs="微软雅黑"/>
          <w:b/>
          <w:bCs/>
          <w:color w:val="000000"/>
        </w:rPr>
        <w:t>领域，</w:t>
      </w:r>
      <w:r>
        <w:rPr>
          <w:rFonts w:hint="eastAsia" w:cs="微软雅黑"/>
          <w:b/>
          <w:bCs/>
          <w:color w:val="000000"/>
        </w:rPr>
        <w:t>具有22年的企业管理经验，历经国企、私企、外企、创业四重职业经历，兼具22年</w:t>
      </w:r>
      <w:r>
        <w:rPr>
          <w:rFonts w:cs="微软雅黑"/>
          <w:b/>
          <w:bCs/>
          <w:color w:val="000000"/>
        </w:rPr>
        <w:t>人力资源管理实操和</w:t>
      </w:r>
      <w:r>
        <w:rPr>
          <w:rFonts w:hint="eastAsia" w:cs="微软雅黑"/>
          <w:b/>
          <w:bCs/>
          <w:color w:val="000000"/>
        </w:rPr>
        <w:t>15</w:t>
      </w:r>
      <w:r>
        <w:rPr>
          <w:rFonts w:cs="微软雅黑"/>
          <w:b/>
          <w:bCs/>
          <w:color w:val="000000"/>
        </w:rPr>
        <w:t>授课经验</w:t>
      </w:r>
      <w:r>
        <w:rPr>
          <w:rFonts w:hint="eastAsia" w:cs="微软雅黑"/>
          <w:b/>
          <w:bCs/>
          <w:color w:val="000000"/>
        </w:rPr>
        <w:t>。</w:t>
      </w:r>
      <w:r>
        <w:rPr>
          <w:rFonts w:cs="微软雅黑"/>
          <w:color w:val="000000"/>
        </w:rPr>
        <w:t>曾服务于兵器工业集团及大型企业负责人力资源及企业管理工作，有着扎实的实践操作能力，对HR管理体系的建设有完整的设计思路。擅长HR战略规划并组织实施，从人力资源体系建立、制度建设到人员招聘、培训开发、劳资管理、绩效考核，</w:t>
      </w:r>
      <w:r>
        <w:rPr>
          <w:rFonts w:hint="eastAsia" w:cs="微软雅黑"/>
          <w:color w:val="000000"/>
        </w:rPr>
        <w:t>劳动风险防范等，</w:t>
      </w:r>
      <w:r>
        <w:rPr>
          <w:rFonts w:cs="微软雅黑"/>
          <w:color w:val="000000"/>
        </w:rPr>
        <w:t>熟悉各模块工作。</w:t>
      </w:r>
    </w:p>
    <w:p w14:paraId="513668AB">
      <w:pPr>
        <w:pStyle w:val="4"/>
        <w:adjustRightInd w:val="0"/>
        <w:snapToGrid w:val="0"/>
        <w:spacing w:before="0" w:beforeAutospacing="0" w:after="0" w:afterAutospacing="0" w:line="440" w:lineRule="exact"/>
        <w:ind w:firstLine="600" w:firstLineChars="250"/>
        <w:jc w:val="both"/>
        <w:rPr>
          <w:rFonts w:cs="微软雅黑"/>
          <w:color w:val="000000"/>
        </w:rPr>
      </w:pPr>
      <w:r>
        <w:rPr>
          <w:rFonts w:cs="微软雅黑"/>
          <w:color w:val="000000"/>
        </w:rPr>
        <w:t>杨老师服务的客户遍布</w:t>
      </w:r>
      <w:r>
        <w:rPr>
          <w:rFonts w:hint="eastAsia" w:cs="微软雅黑"/>
          <w:color w:val="000000"/>
        </w:rPr>
        <w:t>全国</w:t>
      </w:r>
      <w:r>
        <w:rPr>
          <w:rFonts w:cs="微软雅黑"/>
          <w:color w:val="000000"/>
        </w:rPr>
        <w:t>，为</w:t>
      </w:r>
      <w:r>
        <w:rPr>
          <w:rFonts w:hint="eastAsia" w:cs="微软雅黑"/>
          <w:color w:val="000000"/>
        </w:rPr>
        <w:t>中核工业集团、</w:t>
      </w:r>
      <w:r>
        <w:rPr>
          <w:rFonts w:cs="微软雅黑"/>
          <w:color w:val="000000"/>
        </w:rPr>
        <w:t>三星中国、中国移动、中国电信、</w:t>
      </w:r>
      <w:r>
        <w:rPr>
          <w:rFonts w:hint="eastAsia" w:cs="微软雅黑"/>
          <w:color w:val="000000"/>
        </w:rPr>
        <w:t>中国</w:t>
      </w:r>
      <w:r>
        <w:rPr>
          <w:rFonts w:cs="微软雅黑"/>
          <w:color w:val="000000"/>
        </w:rPr>
        <w:t>联通、中铁建工集团、中国重汽、美的集团、中国邮政、中国邮储、中通通讯、中国建设银行、</w:t>
      </w:r>
      <w:r>
        <w:rPr>
          <w:rFonts w:hint="eastAsia" w:cs="微软雅黑"/>
          <w:color w:val="000000"/>
        </w:rPr>
        <w:t>中国</w:t>
      </w:r>
      <w:r>
        <w:rPr>
          <w:rFonts w:cs="微软雅黑"/>
          <w:color w:val="000000"/>
        </w:rPr>
        <w:t>工商银行、中国农业</w:t>
      </w:r>
      <w:r>
        <w:rPr>
          <w:rFonts w:hint="eastAsia" w:cs="微软雅黑"/>
          <w:color w:val="000000"/>
        </w:rPr>
        <w:t>银行</w:t>
      </w:r>
      <w:r>
        <w:rPr>
          <w:rFonts w:cs="微软雅黑"/>
          <w:color w:val="000000"/>
        </w:rPr>
        <w:t>、</w:t>
      </w:r>
      <w:r>
        <w:rPr>
          <w:rFonts w:hint="eastAsia" w:cs="微软雅黑"/>
          <w:color w:val="000000"/>
        </w:rPr>
        <w:t>招商银行、</w:t>
      </w:r>
      <w:r>
        <w:rPr>
          <w:rFonts w:cs="微软雅黑"/>
          <w:color w:val="000000"/>
        </w:rPr>
        <w:t>中信银行、柳工集团、阳光保险、华美集团、中通通讯、惠丰机电、建滔化工集团、金威啤酒集团、富士康集团、美的集团、巴士集团、重庆电工、遵义卷烟、共进电子、</w:t>
      </w:r>
      <w:r>
        <w:rPr>
          <w:rFonts w:hint="eastAsia" w:cs="微软雅黑"/>
          <w:color w:val="000000"/>
        </w:rPr>
        <w:t>广州恒大集团、</w:t>
      </w:r>
      <w:r>
        <w:rPr>
          <w:rFonts w:cs="微软雅黑"/>
          <w:color w:val="000000"/>
        </w:rPr>
        <w:t>广州</w:t>
      </w:r>
      <w:r>
        <w:rPr>
          <w:rFonts w:hint="eastAsia" w:cs="微软雅黑"/>
          <w:color w:val="000000"/>
        </w:rPr>
        <w:t>粒上皇食品、</w:t>
      </w:r>
      <w:r>
        <w:rPr>
          <w:rFonts w:cs="微软雅黑"/>
          <w:color w:val="000000"/>
        </w:rPr>
        <w:t>广西</w:t>
      </w:r>
      <w:r>
        <w:rPr>
          <w:rFonts w:hint="eastAsia" w:cs="微软雅黑"/>
          <w:color w:val="000000"/>
        </w:rPr>
        <w:t>路桥集团、</w:t>
      </w:r>
      <w:r>
        <w:rPr>
          <w:rFonts w:cs="微软雅黑"/>
          <w:color w:val="000000"/>
        </w:rPr>
        <w:t>河南</w:t>
      </w:r>
      <w:r>
        <w:rPr>
          <w:rFonts w:hint="eastAsia" w:cs="微软雅黑"/>
          <w:color w:val="000000"/>
        </w:rPr>
        <w:t>心连心化肥、</w:t>
      </w:r>
      <w:r>
        <w:rPr>
          <w:rFonts w:cs="微软雅黑"/>
          <w:color w:val="000000"/>
        </w:rPr>
        <w:t>南宁</w:t>
      </w:r>
      <w:r>
        <w:rPr>
          <w:rFonts w:hint="eastAsia" w:cs="微软雅黑"/>
          <w:color w:val="000000"/>
        </w:rPr>
        <w:t>威宁投资集团、</w:t>
      </w:r>
      <w:r>
        <w:rPr>
          <w:rFonts w:cs="微软雅黑"/>
          <w:color w:val="000000"/>
        </w:rPr>
        <w:t>南沙</w:t>
      </w:r>
      <w:r>
        <w:rPr>
          <w:rFonts w:hint="eastAsia" w:cs="微软雅黑"/>
          <w:color w:val="000000"/>
        </w:rPr>
        <w:t>海城货代、顺丰</w:t>
      </w:r>
      <w:r>
        <w:rPr>
          <w:rFonts w:cs="微软雅黑"/>
          <w:color w:val="000000"/>
        </w:rPr>
        <w:t>快递、广东省各地人才交流中心、清华</w:t>
      </w:r>
      <w:r>
        <w:rPr>
          <w:rFonts w:hint="eastAsia" w:cs="微软雅黑"/>
          <w:color w:val="000000"/>
        </w:rPr>
        <w:t>大学</w:t>
      </w:r>
      <w:r>
        <w:rPr>
          <w:rFonts w:cs="微软雅黑"/>
          <w:color w:val="000000"/>
        </w:rPr>
        <w:t>国际MBA教学中心、武汉大学干部培训中心、</w:t>
      </w:r>
      <w:r>
        <w:rPr>
          <w:rFonts w:hint="eastAsia" w:cs="微软雅黑"/>
          <w:color w:val="000000"/>
        </w:rPr>
        <w:t>华中科技大学MBA教学中心、</w:t>
      </w:r>
      <w:r>
        <w:rPr>
          <w:rFonts w:cs="微软雅黑"/>
          <w:color w:val="000000"/>
        </w:rPr>
        <w:t>华东理工大学培训中心、兰州大学研究生院</w:t>
      </w:r>
      <w:r>
        <w:rPr>
          <w:rFonts w:hint="eastAsia" w:cs="微软雅黑"/>
          <w:color w:val="000000"/>
        </w:rPr>
        <w:t>、</w:t>
      </w:r>
      <w:r>
        <w:rPr>
          <w:rFonts w:cs="微软雅黑"/>
          <w:color w:val="000000"/>
        </w:rPr>
        <w:t>河北工业大学</w:t>
      </w:r>
      <w:r>
        <w:rPr>
          <w:rFonts w:hint="eastAsia" w:cs="微软雅黑"/>
          <w:color w:val="000000"/>
        </w:rPr>
        <w:t>、厦门大学、上海交通大学、西南交通大学干部培训中心</w:t>
      </w:r>
      <w:r>
        <w:rPr>
          <w:rFonts w:cs="微软雅黑"/>
          <w:color w:val="000000"/>
        </w:rPr>
        <w:t>等</w:t>
      </w:r>
      <w:r>
        <w:rPr>
          <w:rFonts w:hint="eastAsia" w:cs="微软雅黑"/>
          <w:color w:val="000000"/>
        </w:rPr>
        <w:t>多家高校EMBA总裁班</w:t>
      </w:r>
      <w:r>
        <w:rPr>
          <w:rFonts w:cs="微软雅黑"/>
          <w:color w:val="000000"/>
        </w:rPr>
        <w:t>授课</w:t>
      </w:r>
      <w:r>
        <w:rPr>
          <w:rFonts w:hint="eastAsia" w:cs="微软雅黑"/>
          <w:color w:val="000000"/>
        </w:rPr>
        <w:t>和</w:t>
      </w:r>
      <w:r>
        <w:rPr>
          <w:rFonts w:cs="微软雅黑"/>
          <w:color w:val="000000"/>
        </w:rPr>
        <w:t>多家大中型企事业单位进行中</w:t>
      </w:r>
      <w:r>
        <w:rPr>
          <w:rFonts w:hint="eastAsia" w:cs="微软雅黑"/>
          <w:color w:val="000000"/>
        </w:rPr>
        <w:t>、</w:t>
      </w:r>
      <w:r>
        <w:rPr>
          <w:rFonts w:cs="微软雅黑"/>
          <w:color w:val="000000"/>
        </w:rPr>
        <w:t>高层领导</w:t>
      </w:r>
      <w:r>
        <w:rPr>
          <w:rFonts w:hint="eastAsia" w:cs="微软雅黑"/>
          <w:color w:val="000000"/>
        </w:rPr>
        <w:t>加力</w:t>
      </w:r>
      <w:r>
        <w:rPr>
          <w:rFonts w:cs="微软雅黑"/>
          <w:color w:val="000000"/>
        </w:rPr>
        <w:t>与管理技能、人力资源管理技能及</w:t>
      </w:r>
      <w:r>
        <w:rPr>
          <w:rFonts w:hint="eastAsia" w:cs="微软雅黑"/>
          <w:color w:val="000000"/>
        </w:rPr>
        <w:t>MTP</w:t>
      </w:r>
      <w:r>
        <w:rPr>
          <w:rFonts w:cs="微软雅黑"/>
          <w:color w:val="000000"/>
        </w:rPr>
        <w:t>培训</w:t>
      </w:r>
      <w:r>
        <w:rPr>
          <w:rFonts w:hint="eastAsia" w:cs="微软雅黑"/>
          <w:color w:val="000000"/>
        </w:rPr>
        <w:t>超2500</w:t>
      </w:r>
      <w:r>
        <w:rPr>
          <w:rFonts w:cs="微软雅黑"/>
          <w:color w:val="000000"/>
        </w:rPr>
        <w:t>余场次。</w:t>
      </w:r>
    </w:p>
    <w:p w14:paraId="380E4256">
      <w:pPr>
        <w:pStyle w:val="4"/>
        <w:adjustRightInd w:val="0"/>
        <w:snapToGrid w:val="0"/>
        <w:spacing w:before="0" w:beforeAutospacing="0" w:after="0" w:afterAutospacing="0" w:line="440" w:lineRule="exact"/>
        <w:jc w:val="both"/>
        <w:rPr>
          <w:rFonts w:hint="eastAsia"/>
        </w:rPr>
      </w:pPr>
    </w:p>
    <w:p w14:paraId="306B35EB">
      <w:pPr>
        <w:pStyle w:val="4"/>
        <w:adjustRightInd w:val="0"/>
        <w:snapToGrid w:val="0"/>
        <w:spacing w:before="0" w:beforeAutospacing="0" w:after="0" w:afterAutospacing="0" w:line="440" w:lineRule="exact"/>
        <w:jc w:val="both"/>
        <w:rPr>
          <w:b/>
        </w:rPr>
      </w:pPr>
      <w:r>
        <w:rPr>
          <w:b/>
        </w:rPr>
        <w:t>主讲课程：</w:t>
      </w:r>
    </w:p>
    <w:p w14:paraId="76FCE83B">
      <w:pPr>
        <w:pStyle w:val="4"/>
        <w:adjustRightInd w:val="0"/>
        <w:snapToGrid w:val="0"/>
        <w:spacing w:before="0" w:beforeAutospacing="0" w:after="0" w:afterAutospacing="0" w:line="440" w:lineRule="exact"/>
        <w:jc w:val="both"/>
        <w:rPr>
          <w:rFonts w:hint="eastAsia" w:cs="微软雅黑"/>
        </w:rPr>
      </w:pPr>
      <w:r>
        <w:rPr>
          <w:rFonts w:hint="eastAsia" w:cs="微软雅黑"/>
          <w:lang w:eastAsia="zh-CN"/>
        </w:rPr>
        <w:t>《</w:t>
      </w:r>
      <w:r>
        <w:rPr>
          <w:rFonts w:hint="eastAsia" w:cs="微软雅黑"/>
        </w:rPr>
        <w:t>三效六力——新质生产力下的绩效领导力</w:t>
      </w:r>
      <w:r>
        <w:rPr>
          <w:rFonts w:hint="eastAsia" w:cs="微软雅黑"/>
          <w:lang w:eastAsia="zh-CN"/>
        </w:rPr>
        <w:t>》</w:t>
      </w:r>
    </w:p>
    <w:p w14:paraId="703F93D8">
      <w:pPr>
        <w:pStyle w:val="4"/>
        <w:adjustRightInd w:val="0"/>
        <w:snapToGrid w:val="0"/>
        <w:spacing w:before="0" w:beforeAutospacing="0" w:after="0" w:afterAutospacing="0" w:line="440" w:lineRule="exact"/>
        <w:jc w:val="both"/>
        <w:rPr>
          <w:rFonts w:hint="eastAsia" w:cs="微软雅黑"/>
          <w:lang w:eastAsia="zh-CN"/>
        </w:rPr>
      </w:pPr>
      <w:r>
        <w:rPr>
          <w:rFonts w:hint="eastAsia" w:cs="微软雅黑"/>
        </w:rPr>
        <w:t>《极简绩效™</w:t>
      </w:r>
      <w:r>
        <w:rPr>
          <w:rFonts w:hint="eastAsia" w:cs="微软雅黑"/>
          <w:lang w:eastAsia="zh-CN"/>
        </w:rPr>
        <w:t>——</w:t>
      </w:r>
      <w:r>
        <w:rPr>
          <w:rFonts w:hint="eastAsia" w:cs="微软雅黑"/>
        </w:rPr>
        <w:t>管理者必备的绩效领导力</w:t>
      </w:r>
      <w:r>
        <w:rPr>
          <w:rFonts w:hint="eastAsia" w:cs="微软雅黑"/>
          <w:lang w:eastAsia="zh-CN"/>
        </w:rPr>
        <w:t>》</w:t>
      </w:r>
    </w:p>
    <w:p w14:paraId="10B70543">
      <w:pPr>
        <w:pStyle w:val="4"/>
        <w:adjustRightInd w:val="0"/>
        <w:snapToGrid w:val="0"/>
        <w:spacing w:before="0" w:beforeAutospacing="0" w:after="0" w:afterAutospacing="0" w:line="440" w:lineRule="exact"/>
        <w:jc w:val="both"/>
        <w:rPr>
          <w:rFonts w:hint="eastAsia" w:cs="微软雅黑"/>
          <w:lang w:eastAsia="zh-CN"/>
        </w:rPr>
      </w:pPr>
      <w:r>
        <w:rPr>
          <w:rFonts w:hint="eastAsia" w:cs="微软雅黑"/>
          <w:lang w:eastAsia="zh-CN"/>
        </w:rPr>
        <w:t>《</w:t>
      </w:r>
      <w:r>
        <w:rPr>
          <w:rFonts w:hint="eastAsia" w:cs="微软雅黑"/>
        </w:rPr>
        <w:t>HR三支柱转型突破——真业务伙伴修炼</w:t>
      </w:r>
      <w:r>
        <w:rPr>
          <w:rFonts w:hint="eastAsia" w:cs="微软雅黑"/>
          <w:lang w:eastAsia="zh-CN"/>
        </w:rPr>
        <w:t>》</w:t>
      </w:r>
    </w:p>
    <w:p w14:paraId="44BDEAE4">
      <w:pPr>
        <w:pStyle w:val="4"/>
        <w:adjustRightInd w:val="0"/>
        <w:snapToGrid w:val="0"/>
        <w:spacing w:before="0" w:beforeAutospacing="0" w:after="0" w:afterAutospacing="0" w:line="440" w:lineRule="exact"/>
        <w:jc w:val="both"/>
        <w:rPr>
          <w:rFonts w:hint="eastAsia" w:cs="微软雅黑"/>
          <w:lang w:eastAsia="zh-CN"/>
        </w:rPr>
      </w:pPr>
      <w:r>
        <w:rPr>
          <w:rFonts w:hint="eastAsia" w:cs="微软雅黑"/>
          <w:lang w:eastAsia="zh-CN"/>
        </w:rPr>
        <w:t>《人效革命：从战略量化到组织效能倍增的绩效落地》</w:t>
      </w:r>
    </w:p>
    <w:p w14:paraId="69D19F28">
      <w:pPr>
        <w:pStyle w:val="4"/>
        <w:adjustRightInd w:val="0"/>
        <w:snapToGrid w:val="0"/>
        <w:spacing w:before="0" w:beforeAutospacing="0" w:after="0" w:afterAutospacing="0" w:line="440" w:lineRule="exact"/>
        <w:jc w:val="both"/>
        <w:rPr>
          <w:rFonts w:hint="eastAsia" w:eastAsia="宋体" w:cs="微软雅黑"/>
          <w:lang w:eastAsia="zh-CN"/>
        </w:rPr>
      </w:pPr>
      <w:r>
        <w:rPr>
          <w:rFonts w:hint="eastAsia" w:cs="微软雅黑"/>
          <w:lang w:eastAsia="zh-CN"/>
        </w:rPr>
        <w:t>《</w:t>
      </w:r>
      <w:r>
        <w:rPr>
          <w:rFonts w:hint="eastAsia" w:cs="微软雅黑"/>
        </w:rPr>
        <w:t>从人力资源数据到人力资本价值——HR数字化转型实战工坊</w:t>
      </w:r>
      <w:r>
        <w:rPr>
          <w:rFonts w:hint="eastAsia" w:cs="微软雅黑"/>
          <w:lang w:eastAsia="zh-CN"/>
        </w:rPr>
        <w:t>》</w:t>
      </w:r>
    </w:p>
    <w:p w14:paraId="5464E88C">
      <w:pPr>
        <w:pStyle w:val="4"/>
        <w:adjustRightInd w:val="0"/>
        <w:snapToGrid w:val="0"/>
        <w:spacing w:before="0" w:beforeAutospacing="0" w:after="0" w:afterAutospacing="0" w:line="440" w:lineRule="exact"/>
        <w:jc w:val="both"/>
        <w:rPr>
          <w:rFonts w:hint="eastAsia" w:eastAsia="宋体" w:cs="微软雅黑"/>
          <w:lang w:eastAsia="zh-CN"/>
        </w:rPr>
      </w:pPr>
      <w:r>
        <w:rPr>
          <w:rFonts w:hint="eastAsia" w:cs="微软雅黑"/>
          <w:lang w:eastAsia="zh-CN"/>
        </w:rPr>
        <w:t>《</w:t>
      </w:r>
      <w:r>
        <w:rPr>
          <w:rFonts w:hint="eastAsia" w:cs="微软雅黑"/>
        </w:rPr>
        <w:t>人效驱动增长——新质生产力下的人力资本经营与数字化转型</w:t>
      </w:r>
      <w:r>
        <w:rPr>
          <w:rFonts w:hint="eastAsia" w:cs="微软雅黑"/>
          <w:lang w:eastAsia="zh-CN"/>
        </w:rPr>
        <w:t>》</w:t>
      </w:r>
    </w:p>
    <w:p w14:paraId="1A61E45C">
      <w:pPr>
        <w:pStyle w:val="4"/>
        <w:adjustRightInd w:val="0"/>
        <w:snapToGrid w:val="0"/>
        <w:spacing w:before="0" w:beforeAutospacing="0" w:after="0" w:afterAutospacing="0" w:line="440" w:lineRule="exact"/>
        <w:jc w:val="both"/>
        <w:rPr>
          <w:rFonts w:hint="eastAsia" w:cs="微软雅黑"/>
          <w:lang w:eastAsia="zh-CN"/>
        </w:rPr>
      </w:pPr>
      <w:r>
        <w:rPr>
          <w:rFonts w:hint="eastAsia" w:cs="微软雅黑"/>
          <w:lang w:eastAsia="zh-CN"/>
        </w:rPr>
        <w:t>《新质驱动，效能致远——国企人力资本热点与“十五五”规划实战》</w:t>
      </w:r>
    </w:p>
    <w:p w14:paraId="3C48CEB0">
      <w:pPr>
        <w:pStyle w:val="4"/>
        <w:adjustRightInd w:val="0"/>
        <w:snapToGrid w:val="0"/>
        <w:spacing w:before="0" w:beforeAutospacing="0" w:after="0" w:afterAutospacing="0" w:line="440" w:lineRule="exact"/>
        <w:jc w:val="both"/>
        <w:rPr>
          <w:rFonts w:hint="eastAsia" w:cs="微软雅黑"/>
          <w:lang w:eastAsia="zh-CN"/>
        </w:rPr>
      </w:pPr>
      <w:r>
        <w:rPr>
          <w:rFonts w:hint="eastAsia" w:cs="微软雅黑"/>
          <w:lang w:eastAsia="zh-CN"/>
        </w:rPr>
        <w:t>《盘明萃赋 人才致胜——十五五规划下关键人才胜任与人才梯队建构》</w:t>
      </w:r>
    </w:p>
    <w:p w14:paraId="7520CB7F">
      <w:pPr>
        <w:pStyle w:val="4"/>
        <w:adjustRightInd w:val="0"/>
        <w:snapToGrid w:val="0"/>
        <w:spacing w:before="0" w:beforeAutospacing="0" w:after="0" w:afterAutospacing="0" w:line="440" w:lineRule="exact"/>
        <w:jc w:val="both"/>
        <w:rPr>
          <w:rFonts w:hint="eastAsia" w:cs="微软雅黑"/>
          <w:lang w:eastAsia="zh-CN"/>
        </w:rPr>
      </w:pPr>
    </w:p>
    <w:p w14:paraId="51B7D558">
      <w:pPr>
        <w:pStyle w:val="4"/>
        <w:adjustRightInd w:val="0"/>
        <w:snapToGrid w:val="0"/>
        <w:spacing w:before="0" w:beforeAutospacing="0" w:after="0" w:afterAutospacing="0" w:line="420" w:lineRule="exact"/>
        <w:jc w:val="both"/>
        <w:rPr>
          <w:rFonts w:hint="eastAsia" w:cs="微软雅黑"/>
          <w:b/>
        </w:rPr>
      </w:pPr>
      <w:r>
        <w:rPr>
          <w:rFonts w:hint="eastAsia" w:cs="微软雅黑"/>
          <w:b/>
        </w:rPr>
        <w:t>部分授课案例：</w:t>
      </w:r>
    </w:p>
    <w:tbl>
      <w:tblPr>
        <w:tblStyle w:val="5"/>
        <w:tblW w:w="9649" w:type="dxa"/>
        <w:tblInd w:w="9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9"/>
        <w:gridCol w:w="4265"/>
        <w:gridCol w:w="85"/>
        <w:gridCol w:w="2750"/>
      </w:tblGrid>
      <w:tr w14:paraId="6B626ED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49" w:type="dxa"/>
            <w:noWrap w:val="0"/>
            <w:vAlign w:val="center"/>
          </w:tcPr>
          <w:p w14:paraId="2A32DF04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客户名称</w:t>
            </w:r>
          </w:p>
        </w:tc>
        <w:tc>
          <w:tcPr>
            <w:tcW w:w="4265" w:type="dxa"/>
            <w:noWrap w:val="0"/>
            <w:vAlign w:val="center"/>
          </w:tcPr>
          <w:p w14:paraId="19768D36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课程名称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 w14:paraId="2E1D9F1C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交付及返聘期数</w:t>
            </w:r>
          </w:p>
        </w:tc>
      </w:tr>
      <w:tr w14:paraId="3ED7CB6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49" w:type="dxa"/>
            <w:noWrap w:val="0"/>
            <w:vAlign w:val="center"/>
          </w:tcPr>
          <w:p w14:paraId="7BDA061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中建一、二、三、四、五八局各单位</w:t>
            </w:r>
          </w:p>
        </w:tc>
        <w:tc>
          <w:tcPr>
            <w:tcW w:w="4350" w:type="dxa"/>
            <w:gridSpan w:val="2"/>
            <w:noWrap w:val="0"/>
            <w:vAlign w:val="center"/>
          </w:tcPr>
          <w:p w14:paraId="2AF1DC9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《绩效管理系列课》</w:t>
            </w:r>
          </w:p>
        </w:tc>
        <w:tc>
          <w:tcPr>
            <w:tcW w:w="2750" w:type="dxa"/>
            <w:noWrap w:val="0"/>
            <w:vAlign w:val="center"/>
          </w:tcPr>
          <w:p w14:paraId="403E05F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340期</w:t>
            </w:r>
          </w:p>
        </w:tc>
      </w:tr>
      <w:tr w14:paraId="2D96646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49" w:type="dxa"/>
            <w:noWrap w:val="0"/>
            <w:vAlign w:val="center"/>
          </w:tcPr>
          <w:p w14:paraId="66781BF6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地产类（万达、万科、碧桂园等）</w:t>
            </w:r>
          </w:p>
        </w:tc>
        <w:tc>
          <w:tcPr>
            <w:tcW w:w="4350" w:type="dxa"/>
            <w:gridSpan w:val="2"/>
            <w:noWrap w:val="0"/>
            <w:vAlign w:val="center"/>
          </w:tcPr>
          <w:p w14:paraId="08FD1E9C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《人力资源招聘与人才梯队类》</w:t>
            </w:r>
          </w:p>
        </w:tc>
        <w:tc>
          <w:tcPr>
            <w:tcW w:w="2750" w:type="dxa"/>
            <w:noWrap w:val="0"/>
            <w:vAlign w:val="center"/>
          </w:tcPr>
          <w:p w14:paraId="19A2526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540期</w:t>
            </w:r>
          </w:p>
        </w:tc>
      </w:tr>
      <w:tr w14:paraId="1D136A9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49" w:type="dxa"/>
            <w:noWrap w:val="0"/>
            <w:vAlign w:val="center"/>
          </w:tcPr>
          <w:p w14:paraId="7F77522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中建一局下属单位</w:t>
            </w:r>
          </w:p>
        </w:tc>
        <w:tc>
          <w:tcPr>
            <w:tcW w:w="4350" w:type="dxa"/>
            <w:gridSpan w:val="2"/>
            <w:noWrap w:val="0"/>
            <w:vAlign w:val="center"/>
          </w:tcPr>
          <w:p w14:paraId="6FB1F015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《绩效目标分解与计划落地》</w:t>
            </w:r>
          </w:p>
        </w:tc>
        <w:tc>
          <w:tcPr>
            <w:tcW w:w="2750" w:type="dxa"/>
            <w:noWrap w:val="0"/>
            <w:vAlign w:val="center"/>
          </w:tcPr>
          <w:p w14:paraId="18AC0A1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10期共24天</w:t>
            </w:r>
          </w:p>
        </w:tc>
      </w:tr>
      <w:tr w14:paraId="5EC0C2E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49" w:type="dxa"/>
            <w:noWrap w:val="0"/>
            <w:vAlign w:val="center"/>
          </w:tcPr>
          <w:p w14:paraId="017F9CF8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中铁建工</w:t>
            </w:r>
          </w:p>
        </w:tc>
        <w:tc>
          <w:tcPr>
            <w:tcW w:w="4350" w:type="dxa"/>
            <w:gridSpan w:val="2"/>
            <w:noWrap w:val="0"/>
            <w:vAlign w:val="center"/>
          </w:tcPr>
          <w:p w14:paraId="1A92713F">
            <w:pPr>
              <w:spacing w:line="480" w:lineRule="exact"/>
              <w:jc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</w:rPr>
              <w:t>《非人力资源管理/管理者技能提升》</w:t>
            </w:r>
          </w:p>
        </w:tc>
        <w:tc>
          <w:tcPr>
            <w:tcW w:w="2750" w:type="dxa"/>
            <w:noWrap w:val="0"/>
            <w:vAlign w:val="center"/>
          </w:tcPr>
          <w:p w14:paraId="4903C26C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10期共20天</w:t>
            </w:r>
          </w:p>
        </w:tc>
      </w:tr>
      <w:tr w14:paraId="514E1DF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49" w:type="dxa"/>
            <w:noWrap w:val="0"/>
            <w:vAlign w:val="center"/>
          </w:tcPr>
          <w:p w14:paraId="538DF25D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杭州天创集团</w:t>
            </w:r>
          </w:p>
        </w:tc>
        <w:tc>
          <w:tcPr>
            <w:tcW w:w="4350" w:type="dxa"/>
            <w:gridSpan w:val="2"/>
            <w:noWrap w:val="0"/>
            <w:vAlign w:val="center"/>
          </w:tcPr>
          <w:p w14:paraId="0B591244">
            <w:pPr>
              <w:spacing w:line="480" w:lineRule="exact"/>
              <w:jc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</w:rPr>
              <w:t>《从胜任到卓越管理干部训练营</w:t>
            </w:r>
          </w:p>
        </w:tc>
        <w:tc>
          <w:tcPr>
            <w:tcW w:w="2750" w:type="dxa"/>
            <w:noWrap w:val="0"/>
            <w:vAlign w:val="center"/>
          </w:tcPr>
          <w:p w14:paraId="4EAE121E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5期共10天</w:t>
            </w:r>
          </w:p>
        </w:tc>
      </w:tr>
      <w:tr w14:paraId="57C5AFA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49" w:type="dxa"/>
            <w:noWrap/>
            <w:vAlign w:val="center"/>
          </w:tcPr>
          <w:p w14:paraId="7D0EA8D5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徐工集团</w:t>
            </w:r>
          </w:p>
        </w:tc>
        <w:tc>
          <w:tcPr>
            <w:tcW w:w="4350" w:type="dxa"/>
            <w:gridSpan w:val="2"/>
            <w:noWrap w:val="0"/>
            <w:vAlign w:val="center"/>
          </w:tcPr>
          <w:p w14:paraId="7D86DC7C">
            <w:pPr>
              <w:spacing w:line="480" w:lineRule="exact"/>
              <w:jc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</w:rPr>
              <w:t>领导力/干部能力提升专题</w:t>
            </w:r>
          </w:p>
        </w:tc>
        <w:tc>
          <w:tcPr>
            <w:tcW w:w="2750" w:type="dxa"/>
            <w:noWrap w:val="0"/>
            <w:vAlign w:val="center"/>
          </w:tcPr>
          <w:p w14:paraId="1C07D38B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6期共12天</w:t>
            </w:r>
          </w:p>
        </w:tc>
      </w:tr>
      <w:tr w14:paraId="657653DA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49" w:type="dxa"/>
            <w:noWrap w:val="0"/>
            <w:vAlign w:val="center"/>
          </w:tcPr>
          <w:p w14:paraId="1C13C884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伊利集团</w:t>
            </w:r>
          </w:p>
        </w:tc>
        <w:tc>
          <w:tcPr>
            <w:tcW w:w="4350" w:type="dxa"/>
            <w:gridSpan w:val="2"/>
            <w:noWrap w:val="0"/>
            <w:vAlign w:val="center"/>
          </w:tcPr>
          <w:p w14:paraId="51E6510E">
            <w:pPr>
              <w:spacing w:line="480" w:lineRule="exact"/>
              <w:jc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</w:rPr>
              <w:t>HRBP的修炼与成长训练营</w:t>
            </w:r>
          </w:p>
        </w:tc>
        <w:tc>
          <w:tcPr>
            <w:tcW w:w="2750" w:type="dxa"/>
            <w:noWrap w:val="0"/>
            <w:vAlign w:val="center"/>
          </w:tcPr>
          <w:p w14:paraId="18B05583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4期共10天</w:t>
            </w:r>
          </w:p>
        </w:tc>
      </w:tr>
      <w:tr w14:paraId="47C0C57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49" w:type="dxa"/>
            <w:noWrap w:val="0"/>
            <w:vAlign w:val="center"/>
          </w:tcPr>
          <w:p w14:paraId="3E3CD3AB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天津烟草公司</w:t>
            </w:r>
          </w:p>
        </w:tc>
        <w:tc>
          <w:tcPr>
            <w:tcW w:w="4350" w:type="dxa"/>
            <w:gridSpan w:val="2"/>
            <w:noWrap w:val="0"/>
            <w:vAlign w:val="center"/>
          </w:tcPr>
          <w:p w14:paraId="3D601F27">
            <w:pPr>
              <w:spacing w:line="480" w:lineRule="exact"/>
              <w:jc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</w:rPr>
              <w:t>岗位评价与组织诊断</w:t>
            </w:r>
          </w:p>
        </w:tc>
        <w:tc>
          <w:tcPr>
            <w:tcW w:w="2750" w:type="dxa"/>
            <w:noWrap w:val="0"/>
            <w:vAlign w:val="center"/>
          </w:tcPr>
          <w:p w14:paraId="0538FA3F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5期10天</w:t>
            </w:r>
          </w:p>
        </w:tc>
      </w:tr>
      <w:tr w14:paraId="74726FA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49" w:type="dxa"/>
            <w:noWrap w:val="0"/>
            <w:vAlign w:val="center"/>
          </w:tcPr>
          <w:p w14:paraId="2CA3989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中船集团</w:t>
            </w:r>
          </w:p>
        </w:tc>
        <w:tc>
          <w:tcPr>
            <w:tcW w:w="4350" w:type="dxa"/>
            <w:gridSpan w:val="2"/>
            <w:noWrap w:val="0"/>
            <w:vAlign w:val="center"/>
          </w:tcPr>
          <w:p w14:paraId="4F49E9E2">
            <w:pPr>
              <w:spacing w:line="480" w:lineRule="exact"/>
              <w:jc w:val="center"/>
              <w:rPr>
                <w:rFonts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</w:rPr>
              <w:t>极简绩效——量化绩效管理与效能激活</w:t>
            </w:r>
          </w:p>
        </w:tc>
        <w:tc>
          <w:tcPr>
            <w:tcW w:w="2750" w:type="dxa"/>
            <w:noWrap w:val="0"/>
            <w:vAlign w:val="center"/>
          </w:tcPr>
          <w:p w14:paraId="052EA22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4期8天</w:t>
            </w:r>
          </w:p>
        </w:tc>
      </w:tr>
      <w:tr w14:paraId="43A3A3F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49" w:type="dxa"/>
            <w:noWrap w:val="0"/>
            <w:vAlign w:val="center"/>
          </w:tcPr>
          <w:p w14:paraId="79F701D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中交集团</w:t>
            </w:r>
          </w:p>
        </w:tc>
        <w:tc>
          <w:tcPr>
            <w:tcW w:w="4350" w:type="dxa"/>
            <w:gridSpan w:val="2"/>
            <w:noWrap w:val="0"/>
            <w:vAlign w:val="center"/>
          </w:tcPr>
          <w:p w14:paraId="11F0E2CE">
            <w:pPr>
              <w:spacing w:line="480" w:lineRule="exact"/>
              <w:jc w:val="center"/>
              <w:rPr>
                <w:rFonts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sz w:val="24"/>
                <w:szCs w:val="24"/>
              </w:rPr>
              <w:t>非人课程系列</w:t>
            </w:r>
          </w:p>
        </w:tc>
        <w:tc>
          <w:tcPr>
            <w:tcW w:w="2750" w:type="dxa"/>
            <w:noWrap w:val="0"/>
            <w:vAlign w:val="center"/>
          </w:tcPr>
          <w:p w14:paraId="712DC83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3期6天</w:t>
            </w:r>
          </w:p>
        </w:tc>
      </w:tr>
    </w:tbl>
    <w:p w14:paraId="256FB7BA">
      <w:pPr>
        <w:pStyle w:val="4"/>
        <w:adjustRightInd w:val="0"/>
        <w:snapToGrid w:val="0"/>
        <w:spacing w:before="0" w:beforeAutospacing="0" w:after="0" w:afterAutospacing="0" w:line="440" w:lineRule="exact"/>
        <w:jc w:val="both"/>
        <w:rPr>
          <w:rFonts w:hint="eastAsia" w:cs="微软雅黑"/>
          <w:b/>
          <w:color w:val="0000FF"/>
        </w:rPr>
      </w:pPr>
    </w:p>
    <w:p w14:paraId="15E19E1E">
      <w:pPr>
        <w:pStyle w:val="4"/>
        <w:adjustRightInd w:val="0"/>
        <w:snapToGrid w:val="0"/>
        <w:spacing w:before="0" w:beforeAutospacing="0" w:after="0" w:afterAutospacing="0" w:line="440" w:lineRule="exact"/>
        <w:jc w:val="both"/>
        <w:rPr>
          <w:b/>
        </w:rPr>
      </w:pPr>
      <w:r>
        <w:rPr>
          <w:rFonts w:hint="eastAsia" w:cs="微软雅黑"/>
          <w:b/>
        </w:rPr>
        <w:t>部分咨询项目：</w:t>
      </w:r>
    </w:p>
    <w:tbl>
      <w:tblPr>
        <w:tblStyle w:val="5"/>
        <w:tblW w:w="9589" w:type="dxa"/>
        <w:tblInd w:w="9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2520"/>
        <w:gridCol w:w="6160"/>
      </w:tblGrid>
      <w:tr w14:paraId="06BE26D0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9" w:type="dxa"/>
            <w:noWrap/>
            <w:vAlign w:val="center"/>
          </w:tcPr>
          <w:p w14:paraId="4D5B5402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520" w:type="dxa"/>
            <w:noWrap/>
            <w:vAlign w:val="center"/>
          </w:tcPr>
          <w:p w14:paraId="392DCF09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客户名称</w:t>
            </w:r>
          </w:p>
        </w:tc>
        <w:tc>
          <w:tcPr>
            <w:tcW w:w="6160" w:type="dxa"/>
            <w:noWrap/>
            <w:vAlign w:val="center"/>
          </w:tcPr>
          <w:p w14:paraId="4DDADB26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咨询项目</w:t>
            </w:r>
          </w:p>
        </w:tc>
      </w:tr>
      <w:tr w14:paraId="452E626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9" w:type="dxa"/>
            <w:noWrap/>
            <w:vAlign w:val="center"/>
          </w:tcPr>
          <w:p w14:paraId="0938F138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520" w:type="dxa"/>
            <w:noWrap/>
            <w:vAlign w:val="center"/>
          </w:tcPr>
          <w:p w14:paraId="104E9F5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广东某地国税</w:t>
            </w:r>
          </w:p>
        </w:tc>
        <w:tc>
          <w:tcPr>
            <w:tcW w:w="6160" w:type="dxa"/>
            <w:noWrap/>
            <w:vAlign w:val="center"/>
          </w:tcPr>
          <w:p w14:paraId="1A53BCBF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《人才盘点及关键人才培养》</w:t>
            </w:r>
          </w:p>
        </w:tc>
      </w:tr>
      <w:tr w14:paraId="495DCF3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9" w:type="dxa"/>
            <w:noWrap/>
            <w:vAlign w:val="center"/>
          </w:tcPr>
          <w:p w14:paraId="2718A610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520" w:type="dxa"/>
            <w:noWrap/>
            <w:vAlign w:val="center"/>
          </w:tcPr>
          <w:p w14:paraId="436B4DFD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辽宁省联社</w:t>
            </w:r>
          </w:p>
        </w:tc>
        <w:tc>
          <w:tcPr>
            <w:tcW w:w="6160" w:type="dxa"/>
            <w:noWrap/>
            <w:vAlign w:val="center"/>
          </w:tcPr>
          <w:p w14:paraId="0131C4BF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《关键后备支行行长级》</w:t>
            </w:r>
          </w:p>
        </w:tc>
      </w:tr>
      <w:tr w14:paraId="2468F8B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9" w:type="dxa"/>
            <w:noWrap/>
            <w:vAlign w:val="center"/>
          </w:tcPr>
          <w:p w14:paraId="14B9702B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520" w:type="dxa"/>
            <w:noWrap/>
            <w:vAlign w:val="center"/>
          </w:tcPr>
          <w:p w14:paraId="327E62E8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成都移动</w:t>
            </w:r>
          </w:p>
        </w:tc>
        <w:tc>
          <w:tcPr>
            <w:tcW w:w="6160" w:type="dxa"/>
            <w:noWrap/>
            <w:vAlign w:val="center"/>
          </w:tcPr>
          <w:p w14:paraId="1F4E0ED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《新入职人才成长训练》</w:t>
            </w:r>
          </w:p>
        </w:tc>
      </w:tr>
      <w:tr w14:paraId="5E04FEF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9" w:type="dxa"/>
            <w:noWrap/>
            <w:vAlign w:val="center"/>
          </w:tcPr>
          <w:p w14:paraId="6F3D4EAE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520" w:type="dxa"/>
            <w:noWrap/>
            <w:vAlign w:val="center"/>
          </w:tcPr>
          <w:p w14:paraId="06AEB75C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江西移动</w:t>
            </w:r>
          </w:p>
        </w:tc>
        <w:tc>
          <w:tcPr>
            <w:tcW w:w="6160" w:type="dxa"/>
            <w:noWrap/>
            <w:vAlign w:val="center"/>
          </w:tcPr>
          <w:p w14:paraId="1DE7EEF4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《人才培训及HRBP搭建》</w:t>
            </w:r>
          </w:p>
        </w:tc>
      </w:tr>
      <w:tr w14:paraId="2AAD5BA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9" w:type="dxa"/>
            <w:noWrap/>
            <w:vAlign w:val="center"/>
          </w:tcPr>
          <w:p w14:paraId="1E882000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520" w:type="dxa"/>
            <w:noWrap/>
            <w:vAlign w:val="center"/>
          </w:tcPr>
          <w:p w14:paraId="5A3F4270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万泽大药房</w:t>
            </w:r>
          </w:p>
        </w:tc>
        <w:tc>
          <w:tcPr>
            <w:tcW w:w="6160" w:type="dxa"/>
            <w:noWrap/>
            <w:vAlign w:val="center"/>
          </w:tcPr>
          <w:p w14:paraId="79C71876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《人才盘点及关键人才培养》</w:t>
            </w:r>
          </w:p>
        </w:tc>
      </w:tr>
      <w:tr w14:paraId="289046A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9" w:type="dxa"/>
            <w:noWrap/>
            <w:vAlign w:val="center"/>
          </w:tcPr>
          <w:p w14:paraId="44C95A7F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520" w:type="dxa"/>
            <w:noWrap/>
            <w:vAlign w:val="center"/>
          </w:tcPr>
          <w:p w14:paraId="471834E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晋煤集团</w:t>
            </w:r>
          </w:p>
        </w:tc>
        <w:tc>
          <w:tcPr>
            <w:tcW w:w="6160" w:type="dxa"/>
            <w:noWrap/>
            <w:vAlign w:val="center"/>
          </w:tcPr>
          <w:p w14:paraId="07F2B3A1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《绩效薪酬改进及辅导》</w:t>
            </w:r>
          </w:p>
        </w:tc>
      </w:tr>
      <w:tr w14:paraId="7F7D9FE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9" w:type="dxa"/>
            <w:noWrap/>
            <w:vAlign w:val="center"/>
          </w:tcPr>
          <w:p w14:paraId="3F6CC991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520" w:type="dxa"/>
            <w:noWrap/>
            <w:vAlign w:val="center"/>
          </w:tcPr>
          <w:p w14:paraId="439773B8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中建三局水务事业部</w:t>
            </w:r>
          </w:p>
        </w:tc>
        <w:tc>
          <w:tcPr>
            <w:tcW w:w="6160" w:type="dxa"/>
            <w:noWrap/>
            <w:vAlign w:val="center"/>
          </w:tcPr>
          <w:p w14:paraId="48C02D5C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《人才盘点及关键人才培养》</w:t>
            </w:r>
          </w:p>
        </w:tc>
      </w:tr>
      <w:tr w14:paraId="754B2E20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9" w:type="dxa"/>
            <w:noWrap/>
            <w:vAlign w:val="center"/>
          </w:tcPr>
          <w:p w14:paraId="73143225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520" w:type="dxa"/>
            <w:noWrap/>
            <w:vAlign w:val="center"/>
          </w:tcPr>
          <w:p w14:paraId="34318E63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西南水泥厂</w:t>
            </w:r>
          </w:p>
        </w:tc>
        <w:tc>
          <w:tcPr>
            <w:tcW w:w="6160" w:type="dxa"/>
            <w:noWrap/>
            <w:vAlign w:val="center"/>
          </w:tcPr>
          <w:p w14:paraId="10B05359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《人才梯队胜任力萃取》</w:t>
            </w:r>
          </w:p>
        </w:tc>
      </w:tr>
      <w:tr w14:paraId="7588240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9" w:type="dxa"/>
            <w:noWrap/>
            <w:vAlign w:val="center"/>
          </w:tcPr>
          <w:p w14:paraId="5F14063F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520" w:type="dxa"/>
            <w:noWrap/>
            <w:vAlign w:val="center"/>
          </w:tcPr>
          <w:p w14:paraId="657104A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伊利集团奶粉事业部</w:t>
            </w:r>
          </w:p>
        </w:tc>
        <w:tc>
          <w:tcPr>
            <w:tcW w:w="6160" w:type="dxa"/>
            <w:noWrap/>
            <w:vAlign w:val="center"/>
          </w:tcPr>
          <w:p w14:paraId="418AEC11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《HRBP人才梯队搭建》</w:t>
            </w:r>
          </w:p>
        </w:tc>
      </w:tr>
      <w:tr w14:paraId="341FCB43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9" w:type="dxa"/>
            <w:noWrap/>
            <w:vAlign w:val="center"/>
          </w:tcPr>
          <w:p w14:paraId="5401F63C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520" w:type="dxa"/>
            <w:noWrap/>
            <w:vAlign w:val="center"/>
          </w:tcPr>
          <w:p w14:paraId="65577BA7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福建联通</w:t>
            </w:r>
          </w:p>
        </w:tc>
        <w:tc>
          <w:tcPr>
            <w:tcW w:w="6160" w:type="dxa"/>
            <w:noWrap/>
            <w:vAlign w:val="center"/>
          </w:tcPr>
          <w:p w14:paraId="4F02DD7A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《HRBP人才梯队搭建》</w:t>
            </w:r>
          </w:p>
        </w:tc>
      </w:tr>
      <w:tr w14:paraId="62BD133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9" w:type="dxa"/>
            <w:noWrap/>
            <w:vAlign w:val="center"/>
          </w:tcPr>
          <w:p w14:paraId="2DF1DB25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520" w:type="dxa"/>
            <w:noWrap/>
            <w:vAlign w:val="center"/>
          </w:tcPr>
          <w:p w14:paraId="4F3A4B04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天津烟草</w:t>
            </w:r>
          </w:p>
        </w:tc>
        <w:tc>
          <w:tcPr>
            <w:tcW w:w="6160" w:type="dxa"/>
            <w:noWrap/>
            <w:vAlign w:val="center"/>
          </w:tcPr>
          <w:p w14:paraId="603DFBC9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《人才梯队胜任力萃取》</w:t>
            </w:r>
          </w:p>
        </w:tc>
      </w:tr>
      <w:tr w14:paraId="47C4827D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9" w:type="dxa"/>
            <w:noWrap/>
            <w:vAlign w:val="center"/>
          </w:tcPr>
          <w:p w14:paraId="4D7E120B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520" w:type="dxa"/>
            <w:noWrap/>
            <w:vAlign w:val="center"/>
          </w:tcPr>
          <w:p w14:paraId="3B8BA90E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六盘水交运</w:t>
            </w:r>
          </w:p>
        </w:tc>
        <w:tc>
          <w:tcPr>
            <w:tcW w:w="6160" w:type="dxa"/>
            <w:noWrap/>
            <w:vAlign w:val="center"/>
          </w:tcPr>
          <w:p w14:paraId="1BEC00AB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《薪酬与绩效改进》</w:t>
            </w:r>
          </w:p>
        </w:tc>
      </w:tr>
      <w:tr w14:paraId="36C17507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09" w:type="dxa"/>
            <w:noWrap/>
            <w:vAlign w:val="center"/>
          </w:tcPr>
          <w:p w14:paraId="326AFF02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520" w:type="dxa"/>
            <w:noWrap/>
            <w:vAlign w:val="center"/>
          </w:tcPr>
          <w:p w14:paraId="630233CE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木蕴科技</w:t>
            </w:r>
          </w:p>
        </w:tc>
        <w:tc>
          <w:tcPr>
            <w:tcW w:w="6160" w:type="dxa"/>
            <w:noWrap/>
            <w:vAlign w:val="center"/>
          </w:tcPr>
          <w:p w14:paraId="4E855FCB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微软雅黑"/>
                <w:color w:val="000000"/>
                <w:kern w:val="0"/>
                <w:sz w:val="24"/>
                <w:szCs w:val="24"/>
                <w:lang w:bidi="ar"/>
              </w:rPr>
              <w:t>岗位分析与结构化面试题库设计</w:t>
            </w:r>
          </w:p>
        </w:tc>
      </w:tr>
    </w:tbl>
    <w:p w14:paraId="584F2791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</w:rPr>
      </w:pPr>
    </w:p>
    <w:p w14:paraId="7C2F7B79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b/>
        </w:rPr>
      </w:pPr>
      <w:r>
        <w:rPr>
          <w:b/>
        </w:rPr>
        <w:t>授课风格：</w:t>
      </w:r>
    </w:p>
    <w:p w14:paraId="5954AE10">
      <w:pPr>
        <w:pStyle w:val="4"/>
        <w:adjustRightInd w:val="0"/>
        <w:snapToGrid w:val="0"/>
        <w:spacing w:before="0" w:beforeAutospacing="0" w:after="0" w:afterAutospacing="0" w:line="480" w:lineRule="exact"/>
        <w:ind w:firstLine="480" w:firstLineChars="200"/>
        <w:jc w:val="both"/>
      </w:pPr>
      <w:r>
        <w:t>杨文浩老师性格开朗、幽默，亲和力强，其坚持授人以鱼不如授人以渔，倡导授人以欲。注重培训课程中的让学员做主角，情景式教学。结合自身实践经验，</w:t>
      </w:r>
      <w:r>
        <w:rPr>
          <w:rFonts w:hint="eastAsia"/>
        </w:rPr>
        <w:t>让课成听得懂、下得去、做得到，出成效！</w:t>
      </w:r>
      <w:r>
        <w:t>课程风格幽默风趣、寓教于乐，寓理于例，深受广大学员欢迎。</w:t>
      </w:r>
    </w:p>
    <w:p w14:paraId="45D28836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</w:rPr>
      </w:pPr>
    </w:p>
    <w:p w14:paraId="5FF446FD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 w:cs="微软雅黑"/>
          <w:b/>
        </w:rPr>
      </w:pPr>
      <w:r>
        <w:rPr>
          <w:rFonts w:hint="eastAsia" w:cs="微软雅黑"/>
          <w:b/>
        </w:rPr>
        <w:t>部分服务客户：</w:t>
      </w:r>
    </w:p>
    <w:p w14:paraId="645F5BD3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  <w:b/>
          <w:color w:val="0000FF"/>
          <w:highlight w:val="yellow"/>
        </w:rPr>
      </w:pPr>
      <w:r>
        <w:rPr>
          <w:b/>
        </w:rPr>
        <w:t>银行</w:t>
      </w:r>
      <w:r>
        <w:rPr>
          <w:rFonts w:hint="eastAsia"/>
          <w:b/>
        </w:rPr>
        <w:t>/保险/</w:t>
      </w:r>
      <w:r>
        <w:rPr>
          <w:b/>
          <w:color w:val="auto"/>
        </w:rPr>
        <w:t>金融：</w:t>
      </w:r>
      <w:r>
        <w:rPr>
          <w:rFonts w:hint="eastAsia"/>
        </w:rPr>
        <w:t>南京工商银行、湖南幸福人寿保险、天津农村商业银行、中国工商银行、深圳支行、</w:t>
      </w:r>
      <w:r>
        <w:t>中国建设银行吉林分行、中国农业银行长春分行、中国邮政储蓄东莞银行、方圆认证集团、甘肃文县农信合、辽宁省农信合联社、辽宁省凤城农商行、哈尔滨明水县农信合、衢州农信合、武山县农信联社、南通市农商行、中国银行无锡分行、甘肃省联社、邮政储蓄银行海南省分行</w:t>
      </w:r>
      <w:r>
        <w:rPr>
          <w:rFonts w:hint="eastAsia"/>
        </w:rPr>
        <w:t>、镇江扬中农信社、</w:t>
      </w:r>
      <w:r>
        <w:t>长春市农行</w:t>
      </w:r>
      <w:r>
        <w:rPr>
          <w:rFonts w:hint="eastAsia"/>
        </w:rPr>
        <w:t>、阳江农行、广东农信联社、邮储银行、如皋商业银行、农业银行长春分行、广州番禺邮储</w:t>
      </w:r>
      <w:r>
        <w:t>、中信银行</w:t>
      </w:r>
      <w:r>
        <w:rPr>
          <w:rFonts w:hint="eastAsia"/>
        </w:rPr>
        <w:t>、内蒙古农业银行通辽分行、平安银行东莞分行、子洲县农商业行、</w:t>
      </w:r>
      <w:r>
        <w:t>钰诚集团(e租宝)</w:t>
      </w:r>
      <w:r>
        <w:rPr>
          <w:rFonts w:hint="eastAsia"/>
        </w:rPr>
        <w:t>、苏宁消费金融、国海证券、郑州交通银行、福州工行、温州邮政、中国人寿韶关分公司、武汉邮政、广发银行、天津农行、呼和浩特平安保险、北京朝阳邮政、交通银行武汉金融服务中心、厦门人民银行、江西邮储银行、福州平安银行、中国银行天津分行、深圳市前海润杨金融服务、锦州银行、淳安农商行、交通银行、人保财险、平安人寿广东分公司、</w:t>
      </w:r>
      <w:r>
        <w:t>阳光保险、太平洋保险、</w:t>
      </w:r>
      <w:r>
        <w:rPr>
          <w:rFonts w:hint="eastAsia"/>
        </w:rPr>
        <w:t>华夏人寿保险、黑龙江分公司佛山太平洋、中国平安人寿保险湖南分公司、香港人壽保險、平安普惠安徽分公司、</w:t>
      </w:r>
      <w:r>
        <w:t>泛化保险服务集团</w:t>
      </w:r>
      <w:r>
        <w:rPr>
          <w:rFonts w:hint="eastAsia"/>
        </w:rPr>
        <w:t>、广州南方投资集团、物产中大金属集团、宁德市国有资产投资经营、黑龙江省建设投资集团、国家电力投资集团、厦门国际银行、中国工商银行深圳、北京支行、招商银行；巴中市国有资本运营集团、招商银行烟台分行、北京金融街投资（集团）、厦门金圆投资集团、招银金融信息服务（深圳）、深圳市光明科学城产业发展集团、厦门国际银行、江苏张家港农村商业银行、长沙金霞经济开发区管理委员会、招商信诺人寿保险北京分公司、广东珠江投资管理集团、锦州银行、浙江淳安农村商业银行、宁德市国有资产投资经营、广州南方投资集团、深圳市鼎元工程担保、平安普惠投资、中国太平洋财产保险深圳分公司、深圳市光明区国有资产监督管理局、黑龙江省交通投资集团、江门农村商业银行、上海鼎策融资租赁、广东九为投资控股集团、招商局工業集團、厦门国际银行、交通银行太平洋信用卡中心、物产中大集团……</w:t>
      </w:r>
    </w:p>
    <w:p w14:paraId="5D91C159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  <w:b/>
        </w:rPr>
      </w:pPr>
      <w:r>
        <w:rPr>
          <w:b/>
        </w:rPr>
        <w:t>通讯</w:t>
      </w:r>
      <w:r>
        <w:rPr>
          <w:rFonts w:hint="eastAsia"/>
          <w:b/>
        </w:rPr>
        <w:t>/</w:t>
      </w:r>
      <w:r>
        <w:rPr>
          <w:b/>
        </w:rPr>
        <w:t>电子：</w:t>
      </w:r>
      <w:r>
        <w:rPr>
          <w:rFonts w:hint="eastAsia"/>
        </w:rPr>
        <w:t>中科院计算机网络信息中心、深圳</w:t>
      </w:r>
      <w:r>
        <w:t>移动</w:t>
      </w:r>
      <w:r>
        <w:rPr>
          <w:rFonts w:hint="eastAsia"/>
        </w:rPr>
        <w:t>、</w:t>
      </w:r>
      <w:r>
        <w:t>广州</w:t>
      </w:r>
      <w:r>
        <w:rPr>
          <w:rFonts w:hint="eastAsia"/>
        </w:rPr>
        <w:t>移动</w:t>
      </w:r>
      <w:r>
        <w:t>、北京</w:t>
      </w:r>
      <w:r>
        <w:rPr>
          <w:rFonts w:hint="eastAsia"/>
        </w:rPr>
        <w:t>移动、汕头移动</w:t>
      </w:r>
      <w:r>
        <w:t>、甘孜移动、</w:t>
      </w:r>
      <w:r>
        <w:rPr>
          <w:rFonts w:hint="eastAsia"/>
        </w:rPr>
        <w:t>广安移动、安徽铁通、忻州移动、中国电信全渠道运营中心、</w:t>
      </w:r>
      <w:r>
        <w:t>中国广东通讯服务公司、龙岗电信、</w:t>
      </w:r>
      <w:r>
        <w:rPr>
          <w:rFonts w:hint="eastAsia"/>
        </w:rPr>
        <w:t>锦州电信、</w:t>
      </w:r>
      <w:r>
        <w:t>电信工程、中通通讯、中通通讯呼叫中心、</w:t>
      </w:r>
      <w:r>
        <w:rPr>
          <w:rFonts w:hint="eastAsia"/>
        </w:rPr>
        <w:t>苏州三星电子、沈阳</w:t>
      </w:r>
      <w:r>
        <w:t>三星电子、共进电子、美固电子、巴士集团、长讯通信、广东信源彩色印务、深圳路通网络科技、富士康集团、北京太火鸟、</w:t>
      </w:r>
      <w:r>
        <w:rPr>
          <w:rFonts w:hint="eastAsia"/>
        </w:rPr>
        <w:t>重庆通信、内蒙古联通通信、北京移动、中国联合网络通信浙江省分公司、国营江阴电子控制设备厂、中国联合网络通信东莞市分公司、中兴通讯、保定电信、中国铁塔广州市分公司；深圳市博敏电子、</w:t>
      </w:r>
      <w:r>
        <w:rPr>
          <w:rFonts w:hint="eastAsia" w:cs="微软雅黑"/>
          <w:color w:val="000000"/>
        </w:rPr>
        <w:t>东方电气、</w:t>
      </w:r>
      <w:r>
        <w:rPr>
          <w:rFonts w:hint="eastAsia" w:cs="微软雅黑"/>
          <w:color w:val="000000"/>
        </w:rPr>
        <w:tab/>
      </w:r>
      <w:r>
        <w:rPr>
          <w:rFonts w:hint="eastAsia" w:cs="微软雅黑"/>
          <w:color w:val="000000"/>
        </w:rPr>
        <w:t>湖南省通信产业服务、德丰电创科技、英华达（上海）电子、深圳市星汉激光科技、中山台光电子材料、中国电信保定分公司、广州中望龙腾软件、重庆吉芯科技、凌华科技、</w:t>
      </w:r>
      <w:r>
        <w:rPr>
          <w:rFonts w:hint="eastAsia"/>
        </w:rPr>
        <w:t>中兴通讯、东莞市奥海科技、中国联合网络通信东莞市分公司、国营江阴电子控制设备厂、浙江德创环保科技、中国电子系统工程第四建设、苏州闹海科技、湖北省信产通信服务、三星电子（苏州）半导体、千年舟新材科技集团、海亮集团、中国铁塔青海省分公司、中电海康集团、泉州市三安集成电路……</w:t>
      </w:r>
    </w:p>
    <w:p w14:paraId="7D218FB8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  <w:b/>
        </w:rPr>
      </w:pPr>
      <w:r>
        <w:rPr>
          <w:b/>
        </w:rPr>
        <w:t>生产制造业：</w:t>
      </w:r>
      <w:r>
        <w:rPr>
          <w:rFonts w:hint="eastAsia"/>
        </w:rPr>
        <w:t>宝钢湛江钢铁、江苏海钜星新能源科技、Airbus Secure Land Communications Limited、大族激光集团、</w:t>
      </w:r>
      <w:r>
        <w:t>美的集团、</w:t>
      </w:r>
      <w:r>
        <w:rPr>
          <w:rFonts w:hint="eastAsia"/>
        </w:rPr>
        <w:t>浙江华昌液压机械、安徽海螺水泥、爱索尔（广州）包装、</w:t>
      </w:r>
      <w:r>
        <w:t>联想集团广州分公司、</w:t>
      </w:r>
      <w:r>
        <w:rPr>
          <w:rFonts w:hint="eastAsia"/>
        </w:rPr>
        <w:t>格力电器、</w:t>
      </w:r>
      <w:r>
        <w:t>中国重汽集团、柳州重工、广州本田、华美集团、建滔化工集团、亚能生物科技、中华商务印刷、重庆长江电工、美固电子、遵义卷烟厂、希顺有机硅、深圳检验检疫、赤湾港航、惠丰机电、雅昌彩印、奥宏药业、重庆供电局</w:t>
      </w:r>
      <w:r>
        <w:rPr>
          <w:rFonts w:hint="eastAsia"/>
        </w:rPr>
        <w:t>、</w:t>
      </w:r>
      <w:r>
        <w:t>方大集团、杭州天创集团、</w:t>
      </w:r>
      <w:r>
        <w:rPr>
          <w:rFonts w:hint="eastAsia"/>
        </w:rPr>
        <w:t>广州</w:t>
      </w:r>
      <w:r>
        <w:t>本田、眉山启明星</w:t>
      </w:r>
      <w:r>
        <w:rPr>
          <w:rFonts w:hint="eastAsia"/>
        </w:rPr>
        <w:t>铝业、广东三和化工科技、长春博瑞饲料集团、枝江三宁化工、力佳电机、中建八局、宁波韵升集团、台虹科技(昆山)、中船黄埔文冲船舶、深圳富士康、康维明工程薄膜（张家港）、西南水泥厂、广钢集团、大冶有色金属、中广核工程、中国广核集团、大冶有色金属集团、中石油管道局工程、广西路桥工程集团、武汉709所、茅台集团、东方红卫星通讯、大金空调、中车集团永济电机、中国铝业驰宏集团、云南铝业、东风越野车集团、中核建投二二、海天水务集团、许继电气、云南曲煤焦化实业、深圳市真迈生物科技、嘉宝莉化工集团、台州新界泵业、中国船舶重工集团公司第七0七研究所、深圳市星汉激光科技、苏州宏超自动化设备、北方华创科技集团、广东省出版集团、中国葛洲坝集团水泥、南通醋酸纤维、乐歌人体工学科技、云南九机科技、爱普生技术、武汉新创元半导体、中国船舶重工集团公司第七0七研究所工会、中信泰富特钢集团、山东临沂旭洋机械、嘉宝莉化工集团、一汽解放集团、江苏集萃华科智能装备科技、江苏泰特尔新材料科技、山东黄金矿业、森馨香精色素科技、佛山市顺德区顺纺（集团）、江苏洋井石化集团、北京博奥晶典生物技术、四川红华实业、厦门信达、山东能源集团物资、四川长虹模塑科技……</w:t>
      </w:r>
    </w:p>
    <w:p w14:paraId="2B2EA394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b/>
          <w:color w:val="0000FF"/>
        </w:rPr>
      </w:pPr>
      <w:r>
        <w:rPr>
          <w:b/>
        </w:rPr>
        <w:t>房地产</w:t>
      </w:r>
      <w:r>
        <w:rPr>
          <w:rFonts w:hint="eastAsia"/>
          <w:b/>
        </w:rPr>
        <w:t>/建筑</w:t>
      </w:r>
      <w:r>
        <w:rPr>
          <w:b/>
        </w:rPr>
        <w:t>行业：</w:t>
      </w:r>
      <w:r>
        <w:rPr>
          <w:rFonts w:hint="eastAsia"/>
        </w:rPr>
        <w:t>宁波开发投资集团、中能建宜昌葛洲坝资产管理、海西汇源矿产资源开发投资、中铁建设集团、</w:t>
      </w:r>
      <w:r>
        <w:t>中铁建工集团、振业集团、深圳市爱地地产、花样年酒店集团、惠州家路国际大酒店、重庆市顺盛实业、</w:t>
      </w:r>
      <w:r>
        <w:rPr>
          <w:rFonts w:hint="eastAsia"/>
        </w:rPr>
        <w:t>中建八局、中建三局、中建一局、中建四局、</w:t>
      </w:r>
      <w:r>
        <w:t>得时集团</w:t>
      </w:r>
      <w:r>
        <w:rPr>
          <w:rFonts w:hint="eastAsia"/>
        </w:rPr>
        <w:t>、一卡通、荣安集团、中原地产、华润置地、深圳市瑞捷建筑工程咨询、重庆市顺盛实业、</w:t>
      </w:r>
      <w:r>
        <w:t>海南省建设投资集团</w:t>
      </w:r>
      <w:r>
        <w:rPr>
          <w:rFonts w:hint="eastAsia"/>
        </w:rPr>
        <w:t>、三亚</w:t>
      </w:r>
      <w:r>
        <w:t>陵水建设集团</w:t>
      </w:r>
      <w:r>
        <w:rPr>
          <w:rFonts w:hint="eastAsia"/>
        </w:rPr>
        <w:t>、北京中铁诺德房地产开发、山东房源实业集团、杭州华润置地、中交第二公路工程局、贵州碧桂园、泰山建筑公司、中铁江西分公司、中建四局贵州投资建设、上海航金房地产、上海城投、水务集团、华锦建设集团、城发投资集团、重庆市江北嘴中央商务区投资集团、珠海水务环境控股集团、万达控股集团、中国核工业二三建设、中国船舶重工集团公司第七一O研究所、香港明華置業集團投資、浙江信达地产、中国核工业二三建设、中铁山河工程装备、中航重机、中国建筑第四工程局、云南建投中航建设、海南省发展控股、黑龙江省建设投资集团、浙江信达地产、中国铁塔广州市分公司、中国铁塔甘肃省分公司、华茂集团、中建四局總承包、福建省五建建设集团、中交四航局第四工程、雅居樂集團控股、潍坊恒信建设集团、中交天航环保工程、深圳市特区建工集团、四川富临实业集团、中建安装集团……</w:t>
      </w:r>
    </w:p>
    <w:p w14:paraId="34157540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  <w:b/>
          <w:color w:val="0000FF"/>
        </w:rPr>
      </w:pPr>
      <w:r>
        <w:rPr>
          <w:rFonts w:hint="eastAsia"/>
          <w:b/>
        </w:rPr>
        <w:t>电力行业：</w:t>
      </w:r>
      <w:r>
        <w:rPr>
          <w:rFonts w:hint="eastAsia"/>
        </w:rPr>
        <w:t>国网成都供电、国家电网、国家电力投资集团、广西电网、南方电网数字电网集团、中广核集团、广核集团、中国水电基础局西藏分公司、中国电建、重庆供电局、广州合鸿达投资公司、攀枝花电业局、咸宁电力、深圳供电局、深圳妈湾电力</w:t>
      </w:r>
      <w:r>
        <w:t>、</w:t>
      </w:r>
      <w:r>
        <w:rPr>
          <w:rFonts w:hint="eastAsia"/>
        </w:rPr>
        <w:t>中国葛洲坝集团、国网山西省电力公司、国网电力、广东铁塔、青海电力公司、吉林供电、毕节电力局、国网甘肃省电力公司、兰州供电公司、明磊锂能源科技、中国水利水电第三工程局、中国葛洲坝集团第一工程、内蒙古国华准格尔发电、国网甘肃省电力公司、惠州市鼎元新能源科技、成都光明光电、贵州乌江水电开发、广东电网中山供电局、中电投广西核电、中电建水电开发集团、广东电网、南网数字电网科技产业园（广州）、新疆能源（集团）、贵州乌江水电开发、成都光明光电、惠州市鼎元新能源科技、国网甘肃省电力、国家电投集团山西铝业……</w:t>
      </w:r>
    </w:p>
    <w:p w14:paraId="3690AAD2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b/>
        </w:rPr>
      </w:pPr>
      <w:r>
        <w:rPr>
          <w:rFonts w:hint="eastAsia"/>
          <w:b/>
        </w:rPr>
        <w:t>汽车行业：</w:t>
      </w:r>
      <w:r>
        <w:rPr>
          <w:rFonts w:hint="eastAsia"/>
        </w:rPr>
        <w:t>广汽丰田汽车、北京海纳川汽车部件、一汽解放集团、长春一汽、深圳比亚迪集团、武汉东本、北汽集团、东风悦达起亚汽车、东风实业、东风本田、无锡欧帕斯、广州提爱思汽车内饰系统、柳州五菱、中联重科、中船重工集团、广汽埃安新能源、杭州世宝汽车方向机、广州提爱思汽车内饰系统、金杯汽车、延锋汽车内饰系统（上海）、德科斯米尔（本溪）汽车电气、贵州航天电器、东风汽车集团、上汽通用东岳汽车、深圳东风南方汽车销售服务、昌辉汽车电器（黄山）、福建奔驰汽车、上汽通用东岳汽车……</w:t>
      </w:r>
    </w:p>
    <w:p w14:paraId="01D9E893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  <w:b/>
          <w:bCs/>
        </w:rPr>
      </w:pPr>
      <w:r>
        <w:rPr>
          <w:rFonts w:hint="eastAsia"/>
          <w:b/>
          <w:bCs/>
        </w:rPr>
        <w:t>互联网行业：</w:t>
      </w:r>
      <w:r>
        <w:rPr>
          <w:rFonts w:hint="eastAsia"/>
        </w:rPr>
        <w:t>大族激光、深圳市牵手互动网络科技、深圳中集智能科技、明源云网络科技公司、阿里巴巴、中移在线、美团、腾讯、京东、顺丰、北京祖龙游科技、上海凭安征信服务、上海西区文化传媒、长沙泽塔互联网信息服务、广州茉莉网络传媒、广州中望龙腾软件；广东蓝光智能科技有限公司、深圳市瑞秋国际物流、成都星云智联科技、福建纵腾网络、中国华粮物流集团北良、南方电网数字电网集团信通科技、长沙泽塔互联网信息服务、上海西区文化传媒发展、中外运物流、广州信安数据……</w:t>
      </w:r>
    </w:p>
    <w:p w14:paraId="668FF7E6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b/>
        </w:rPr>
      </w:pPr>
      <w:r>
        <w:rPr>
          <w:rFonts w:hint="eastAsia"/>
          <w:b/>
        </w:rPr>
        <w:t>家具建材：</w:t>
      </w:r>
      <w:r>
        <w:rPr>
          <w:rFonts w:hint="eastAsia"/>
        </w:rPr>
        <w:t>巴洛克木业、佛山罗浮宫家具博览中心、大亚圣象家居、广东新中源陶瓷、山东新光实业集团、东陶(福建)、海外装饰、佛山市承林家具、慕思寝具用品、</w:t>
      </w:r>
      <w:r>
        <w:t>TATA木门</w:t>
      </w:r>
      <w:r>
        <w:rPr>
          <w:rFonts w:hint="eastAsia"/>
        </w:rPr>
        <w:t>、厦门阳光恩耐照明、上海久事体育产业发展（集团）……</w:t>
      </w:r>
    </w:p>
    <w:p w14:paraId="3CB715B5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  <w:b/>
        </w:rPr>
      </w:pPr>
      <w:r>
        <w:rPr>
          <w:rFonts w:hint="eastAsia"/>
          <w:b/>
        </w:rPr>
        <w:t>连锁/快消品/酒：</w:t>
      </w:r>
      <w:r>
        <w:rPr>
          <w:rFonts w:hint="eastAsia"/>
        </w:rPr>
        <w:t>张裕集团、广州利口福食品、统实（中国）投资、深圳翠绿珠宝、周六福珠宝、山东Vivo手机销售公司、镇江步步高、邦健医药连锁、小龙坎集团、华润雪花啤酒、四川长虹集团、寿康百货、陈村食品、伊利集团、澳优乳业、麒麟啤酒、康师傅、山东银座家居、茅台集团、古井贡酒、农夫山泉；东鹏饮料（集团）、周大福珠宝金行、无锡泓历餐饮、浙江省土产畜产进出口集团、亳州古井销售、华润雪花啤酒（杭州）、中顺洁柔纸业……</w:t>
      </w:r>
    </w:p>
    <w:p w14:paraId="2769B060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  <w:b/>
          <w:bCs/>
        </w:rPr>
      </w:pPr>
      <w:r>
        <w:rPr>
          <w:rFonts w:hint="eastAsia"/>
          <w:b/>
          <w:bCs/>
        </w:rPr>
        <w:t>烟草行业：</w:t>
      </w:r>
      <w:r>
        <w:rPr>
          <w:rFonts w:hint="eastAsia"/>
        </w:rPr>
        <w:t>广州卷烟厂、广东烟草监督局、贵定卷烟厂、天津卷烟厂、贵阳烟草、天津烟草……</w:t>
      </w:r>
    </w:p>
    <w:p w14:paraId="0D7C70A8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  <w:b/>
          <w:bCs/>
        </w:rPr>
      </w:pPr>
      <w:r>
        <w:rPr>
          <w:rFonts w:hint="eastAsia"/>
          <w:b/>
          <w:bCs/>
        </w:rPr>
        <w:t>医药健康：</w:t>
      </w:r>
      <w:r>
        <w:rPr>
          <w:rFonts w:hint="eastAsia"/>
        </w:rPr>
        <w:t>一方制药、扬子江药业集团、天津药业集团、以岭药业、莎普爱思、万泽大药房、益丰大药房、仁川大药房、湖南九典制药、奥洪制药、科兴集团、复兴制药、丽珠制药集团、泉源堂大药房、上海医药集团、深圳市汇健医疗工程、淄博医疗、江西天新药业、广东中润医药、国药集团药业、广誉远中药、深圳信立泰药业、中国中药、国投健康产业投资、国药集团药业、珠海联邦制药、国药集团致君（深圳）制药……</w:t>
      </w:r>
    </w:p>
    <w:p w14:paraId="0A74D3B0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  <w:b/>
          <w:bCs/>
        </w:rPr>
      </w:pPr>
      <w:r>
        <w:rPr>
          <w:rFonts w:hint="eastAsia"/>
          <w:b/>
        </w:rPr>
        <w:t>交通/航空/地铁</w:t>
      </w:r>
      <w:r>
        <w:rPr>
          <w:rFonts w:hint="eastAsia"/>
          <w:b/>
          <w:bCs/>
        </w:rPr>
        <w:t>：</w:t>
      </w:r>
      <w:r>
        <w:rPr>
          <w:rFonts w:hint="eastAsia"/>
        </w:rPr>
        <w:t>深圳航空、南方航空、东方航空、海南航空、三亚机场、西部航空、深圳机场国际货站、上海航空、上海浦东国际机场、华南蓝天航空油料、义乌市交通旅游产业发展集团、深圳地铁、佛山地铁、上海地铁、北京地铁、沈阳地铁物业管理、北京京港地铁、广州地铁集团、山西建投城市运营集团、厦门太古起落架维修服务、东</w:t>
      </w:r>
      <w:r>
        <w:t>莞市水务集团</w:t>
      </w:r>
      <w:r>
        <w:rPr>
          <w:rFonts w:hint="eastAsia"/>
        </w:rPr>
        <w:t>、天津港（集团）、哈铁局</w:t>
      </w:r>
      <w:r>
        <w:t>、</w:t>
      </w:r>
      <w:r>
        <w:rPr>
          <w:rFonts w:hint="eastAsia"/>
        </w:rPr>
        <w:t>广州</w:t>
      </w:r>
      <w:r>
        <w:t>铁路局、</w:t>
      </w:r>
      <w:r>
        <w:rPr>
          <w:rFonts w:hint="eastAsia"/>
        </w:rPr>
        <w:t>海南航空</w:t>
      </w:r>
      <w:r>
        <w:t>、三亚机场、深圳</w:t>
      </w:r>
      <w:r>
        <w:rPr>
          <w:rFonts w:hint="eastAsia"/>
        </w:rPr>
        <w:t>航空</w:t>
      </w:r>
      <w:r>
        <w:t>维修中心</w:t>
      </w:r>
      <w:r>
        <w:rPr>
          <w:rFonts w:hint="eastAsia"/>
        </w:rPr>
        <w:t>、</w:t>
      </w:r>
      <w:r>
        <w:t>广西</w:t>
      </w:r>
      <w:r>
        <w:rPr>
          <w:rFonts w:hint="eastAsia"/>
        </w:rPr>
        <w:t>路桥集团、四川明日宇航工业、哈尔滨铁路局、上海地铁、苏高新交发集团、四川公交集团、深圳高速公路、西安西部机场集团、中远海运能源运输、南方航空湖北公司、东方航空公司、中联重科、中核404所，中船708所、中国航发航空科技、荆门市特种设备监督检验所、中交上海航道局、无锡地铁集团、北京京港地铁、上海国际港务（集团）、安徽省徐明高速公路管理、贵州航天电器、沈阳地铁物业、绍兴市高速公路运营管理、防城港市兴港集团、浙江省交通投资集团高速公路管理、深圳招商蛇口国际邮轮母港、上海外高桥造船海洋工程、辽宁港口、招商公路运营管理（北京）、广州空港产业投资集团、中交上海航道局有限公司、高投建设开发、成都双流巴士……</w:t>
      </w:r>
    </w:p>
    <w:p w14:paraId="631CA0A9">
      <w:pPr>
        <w:pStyle w:val="4"/>
        <w:adjustRightInd w:val="0"/>
        <w:snapToGrid w:val="0"/>
        <w:spacing w:before="0" w:beforeAutospacing="0" w:after="0" w:afterAutospacing="0" w:line="480" w:lineRule="exact"/>
        <w:jc w:val="both"/>
      </w:pPr>
      <w:r>
        <w:rPr>
          <w:rFonts w:hint="eastAsia"/>
          <w:b/>
          <w:bCs/>
        </w:rPr>
        <w:t>高校与教育系统：</w:t>
      </w:r>
      <w:r>
        <w:rPr>
          <w:rFonts w:hint="eastAsia"/>
        </w:rPr>
        <w:t>清华大学研究生院、哈工大研究生院，武汉大学教育中心、华中科技大学教育中心、上海交大海外教育中心、厦门大学培训中心、中山大学研究生教育中心、成都市武侯水韵园教育管理、香港亚商学院……</w:t>
      </w:r>
    </w:p>
    <w:p w14:paraId="6674F77C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</w:rPr>
      </w:pPr>
    </w:p>
    <w:p w14:paraId="6EB4098C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  <w:b/>
        </w:rPr>
      </w:pPr>
      <w:r>
        <w:rPr>
          <w:rFonts w:hint="eastAsia"/>
          <w:b/>
        </w:rPr>
        <w:t>部分</w:t>
      </w:r>
      <w:r>
        <w:rPr>
          <w:b/>
        </w:rPr>
        <w:t>客户评价：</w:t>
      </w:r>
    </w:p>
    <w:p w14:paraId="79FB3BBA">
      <w:pPr>
        <w:pStyle w:val="4"/>
        <w:adjustRightInd w:val="0"/>
        <w:snapToGrid w:val="0"/>
        <w:spacing w:before="0" w:beforeAutospacing="0" w:after="0" w:afterAutospacing="0" w:line="480" w:lineRule="exact"/>
        <w:ind w:firstLine="480" w:firstLineChars="200"/>
        <w:jc w:val="both"/>
      </w:pPr>
      <w:r>
        <w:rPr>
          <w:rFonts w:hint="eastAsia"/>
        </w:rPr>
        <w:t>杨文浩老师</w:t>
      </w:r>
      <w:r>
        <w:t>分享《人力资源管理者定位》，课程受到现场500名学员的高度评价，源大副董事长说，杨老师，你的课太棒了，有高度，有模型，有方法，有措施!课程分享精彩纷呈，亮点，痛点，拐点，悟点，发人深省……，主办方</w:t>
      </w:r>
      <w:r>
        <w:rPr>
          <w:rFonts w:hint="eastAsia"/>
        </w:rPr>
        <w:t>温州电视台记者</w:t>
      </w:r>
      <w:r>
        <w:t>现场抒藏头诗赞美杨老师，如下：杨洋洒洒登高台，文质彬彬抒情怀。浩浩春风润心田，好梦好景随风来。</w:t>
      </w:r>
    </w:p>
    <w:p w14:paraId="248C5BBF">
      <w:pPr>
        <w:pStyle w:val="4"/>
        <w:adjustRightInd w:val="0"/>
        <w:snapToGrid w:val="0"/>
        <w:spacing w:before="0" w:beforeAutospacing="0" w:after="0" w:afterAutospacing="0" w:line="480" w:lineRule="exact"/>
        <w:jc w:val="right"/>
        <w:rPr>
          <w:rFonts w:hint="eastAsia"/>
        </w:rPr>
      </w:pPr>
      <w:r>
        <w:rPr>
          <w:rFonts w:hint="eastAsia"/>
        </w:rPr>
        <w:t>——</w:t>
      </w:r>
      <w:r>
        <w:rPr>
          <w:b/>
        </w:rPr>
        <w:t>温州第二届人力资源峰会</w:t>
      </w:r>
      <w:r>
        <w:rPr>
          <w:rFonts w:hint="eastAsia"/>
          <w:b/>
        </w:rPr>
        <w:t>媒体</w:t>
      </w:r>
    </w:p>
    <w:p w14:paraId="0EDDE9DF">
      <w:pPr>
        <w:pStyle w:val="4"/>
        <w:adjustRightInd w:val="0"/>
        <w:snapToGrid w:val="0"/>
        <w:spacing w:before="0" w:beforeAutospacing="0" w:after="0" w:afterAutospacing="0" w:line="480" w:lineRule="exact"/>
        <w:ind w:firstLine="480" w:firstLineChars="200"/>
        <w:jc w:val="both"/>
      </w:pPr>
      <w:r>
        <w:rPr>
          <w:rFonts w:hint="eastAsia"/>
        </w:rPr>
        <w:t>杨文浩老师</w:t>
      </w:r>
      <w:r>
        <w:t>授课主题《非人力资源管理的人力资源管理》课程被高度评价课程最多的收获就是选用育留工作如何做!学员们连休息时间也不放过，抓着老师咨询工作问题。中场休息时，培训机构的项目负责人说，杨老师不仅专业知识扎实，授课激情四射，能一针见血渗透问题，帮助企业解决实际问题;内容丰富、实用。</w:t>
      </w:r>
    </w:p>
    <w:p w14:paraId="5AB63F54">
      <w:pPr>
        <w:pStyle w:val="4"/>
        <w:adjustRightInd w:val="0"/>
        <w:snapToGrid w:val="0"/>
        <w:spacing w:before="0" w:beforeAutospacing="0" w:after="0" w:afterAutospacing="0" w:line="480" w:lineRule="exact"/>
        <w:jc w:val="right"/>
        <w:rPr>
          <w:rFonts w:hint="eastAsia"/>
          <w:b/>
        </w:rPr>
      </w:pPr>
      <w:r>
        <w:rPr>
          <w:rFonts w:hint="eastAsia"/>
          <w:b/>
        </w:rPr>
        <w:t>——</w:t>
      </w:r>
      <w:r>
        <w:rPr>
          <w:b/>
        </w:rPr>
        <w:t>江门清华国际MBA教学中心</w:t>
      </w:r>
    </w:p>
    <w:p w14:paraId="223699CA">
      <w:pPr>
        <w:pStyle w:val="4"/>
        <w:adjustRightInd w:val="0"/>
        <w:snapToGrid w:val="0"/>
        <w:spacing w:before="0" w:beforeAutospacing="0" w:after="0" w:afterAutospacing="0" w:line="480" w:lineRule="exact"/>
        <w:ind w:firstLine="480" w:firstLineChars="200"/>
        <w:jc w:val="both"/>
      </w:pPr>
      <w:r>
        <w:rPr>
          <w:rFonts w:hint="eastAsia"/>
        </w:rPr>
        <w:t>杨文浩老师在</w:t>
      </w:r>
      <w:r>
        <w:t>武汉大学干部培训中心为分享《非人力资源管理的人力资源管理》，方圆高总高度评价课程，课程太棒了!现场掌声和笑声，妙趣横生，小语句大道理：员工物质丰富化，精神荒漠化</w:t>
      </w:r>
      <w:r>
        <w:rPr>
          <w:rFonts w:hint="eastAsia"/>
        </w:rPr>
        <w:t>；</w:t>
      </w:r>
      <w:r>
        <w:t>把自看小，别人不敢小看，把自已看轻，才不会失落;永远不留人，把留核心竟争力变成新常态</w:t>
      </w:r>
      <w:r>
        <w:rPr>
          <w:rFonts w:hint="eastAsia"/>
        </w:rPr>
        <w:t>！</w:t>
      </w:r>
      <w:r>
        <w:t>授人以渔不如授人以欲!用好家里人，解决愿力才是硬道理!以客人心态看主人环境，客居企业，自已幸福，企业和谐。正人先正已，正已先正心，留人留心，不做盆景式理想</w:t>
      </w:r>
      <w:r>
        <w:rPr>
          <w:rFonts w:hint="eastAsia"/>
        </w:rPr>
        <w:t>！</w:t>
      </w:r>
      <w:r>
        <w:t>奖要动心</w:t>
      </w:r>
      <w:r>
        <w:rPr>
          <w:rFonts w:hint="eastAsia"/>
        </w:rPr>
        <w:t>！</w:t>
      </w:r>
      <w:r>
        <w:t>罚要痛心，管要用心，理要动情…… 正如方圆张总评价：笑点多，痛点准，悟点新，启发深</w:t>
      </w:r>
      <w:r>
        <w:rPr>
          <w:rFonts w:hint="eastAsia"/>
        </w:rPr>
        <w:t>！</w:t>
      </w:r>
    </w:p>
    <w:p w14:paraId="1F053E64">
      <w:pPr>
        <w:pStyle w:val="4"/>
        <w:adjustRightInd w:val="0"/>
        <w:snapToGrid w:val="0"/>
        <w:spacing w:before="0" w:beforeAutospacing="0" w:after="0" w:afterAutospacing="0" w:line="480" w:lineRule="exact"/>
        <w:jc w:val="right"/>
      </w:pPr>
      <w:r>
        <w:rPr>
          <w:rFonts w:hint="eastAsia"/>
          <w:b/>
        </w:rPr>
        <w:t>——</w:t>
      </w:r>
      <w:r>
        <w:rPr>
          <w:b/>
        </w:rPr>
        <w:t>方圆认证集团</w:t>
      </w:r>
      <w:r>
        <w:rPr>
          <w:rFonts w:hint="eastAsia"/>
          <w:b/>
        </w:rPr>
        <w:t>高管</w:t>
      </w:r>
    </w:p>
    <w:p w14:paraId="3E759B75">
      <w:pPr>
        <w:pStyle w:val="4"/>
        <w:adjustRightInd w:val="0"/>
        <w:snapToGrid w:val="0"/>
        <w:spacing w:before="0" w:beforeAutospacing="0" w:after="0" w:afterAutospacing="0" w:line="480" w:lineRule="exact"/>
        <w:ind w:firstLine="480" w:firstLineChars="200"/>
        <w:jc w:val="both"/>
      </w:pPr>
      <w:r>
        <w:t>杨老师受武山联社的返聘邀请，</w:t>
      </w:r>
      <w:r>
        <w:rPr>
          <w:rFonts w:hint="eastAsia"/>
        </w:rPr>
        <w:t>再次</w:t>
      </w:r>
      <w:r>
        <w:t>为其进行三天的领导力和团队建设的培训，联社的领导原定第二天回去开会，在听到杨老师课程后，连夜调整推迟会议安排，全体中高层全程参与课程，课后，高度评价，联社的领导杨老师课程深入浅出，切合联社目前改革发展需要，受益匪浅，而且，杨老师的演绎风采让他们轻松快乐，轻松中收益良多。</w:t>
      </w:r>
    </w:p>
    <w:p w14:paraId="51AFCAC5">
      <w:pPr>
        <w:pStyle w:val="4"/>
        <w:adjustRightInd w:val="0"/>
        <w:snapToGrid w:val="0"/>
        <w:spacing w:before="0" w:beforeAutospacing="0" w:after="0" w:afterAutospacing="0" w:line="480" w:lineRule="exact"/>
        <w:jc w:val="right"/>
        <w:rPr>
          <w:rFonts w:hint="eastAsia"/>
          <w:b/>
        </w:rPr>
      </w:pPr>
      <w:r>
        <w:rPr>
          <w:rFonts w:hint="eastAsia"/>
          <w:b/>
        </w:rPr>
        <w:t>——</w:t>
      </w:r>
      <w:r>
        <w:rPr>
          <w:b/>
        </w:rPr>
        <w:t>兰州武山联社</w:t>
      </w:r>
    </w:p>
    <w:p w14:paraId="129D5D04">
      <w:pPr>
        <w:pStyle w:val="4"/>
        <w:adjustRightInd w:val="0"/>
        <w:snapToGrid w:val="0"/>
        <w:spacing w:before="0" w:beforeAutospacing="0" w:after="0" w:afterAutospacing="0" w:line="480" w:lineRule="exact"/>
        <w:ind w:firstLine="480"/>
        <w:jc w:val="both"/>
      </w:pPr>
      <w:r>
        <w:t>杨老师受宜宾</w:t>
      </w:r>
      <w:r>
        <w:rPr>
          <w:rFonts w:hint="eastAsia"/>
        </w:rPr>
        <w:t>党校</w:t>
      </w:r>
      <w:r>
        <w:t>邀请为</w:t>
      </w:r>
      <w:r>
        <w:rPr>
          <w:rFonts w:hint="eastAsia"/>
        </w:rPr>
        <w:t>宜宾市</w:t>
      </w:r>
      <w:r>
        <w:t>企业家分享</w:t>
      </w:r>
      <w:r>
        <w:rPr>
          <w:rFonts w:hint="eastAsia"/>
        </w:rPr>
        <w:t>《</w:t>
      </w:r>
      <w:r>
        <w:t>六维领导力</w:t>
      </w:r>
      <w:r>
        <w:rPr>
          <w:rFonts w:hint="eastAsia"/>
        </w:rPr>
        <w:t>》</w:t>
      </w:r>
      <w:r>
        <w:t>，</w:t>
      </w:r>
      <w:r>
        <w:rPr>
          <w:rFonts w:hint="eastAsia"/>
        </w:rPr>
        <w:t>受到</w:t>
      </w:r>
      <w:r>
        <w:t>与会企业家朋友高度评价，相关负责人</w:t>
      </w:r>
      <w:r>
        <w:rPr>
          <w:rFonts w:hint="eastAsia"/>
        </w:rPr>
        <w:t>听取</w:t>
      </w:r>
      <w:r>
        <w:t>课程后给出了</w:t>
      </w:r>
      <w:r>
        <w:rPr>
          <w:rFonts w:hint="eastAsia"/>
        </w:rPr>
        <w:t>有趣有料</w:t>
      </w:r>
      <w:r>
        <w:t>，</w:t>
      </w:r>
      <w:r>
        <w:rPr>
          <w:rFonts w:hint="eastAsia"/>
        </w:rPr>
        <w:t>轻松诙谐</w:t>
      </w:r>
      <w:r>
        <w:t>，</w:t>
      </w:r>
      <w:r>
        <w:rPr>
          <w:rFonts w:hint="eastAsia"/>
        </w:rPr>
        <w:t>直击痛点</w:t>
      </w:r>
      <w:r>
        <w:t>、</w:t>
      </w:r>
      <w:r>
        <w:rPr>
          <w:rFonts w:hint="eastAsia"/>
        </w:rPr>
        <w:t>鞭辟入里</w:t>
      </w:r>
      <w:r>
        <w:t>，</w:t>
      </w:r>
      <w:r>
        <w:rPr>
          <w:rFonts w:hint="eastAsia"/>
        </w:rPr>
        <w:t>纵横</w:t>
      </w:r>
      <w:r>
        <w:t>捭阖，游刃有余，余音绕梁，</w:t>
      </w:r>
      <w:r>
        <w:rPr>
          <w:rFonts w:hint="eastAsia"/>
        </w:rPr>
        <w:t xml:space="preserve"> 陶醉其中……</w:t>
      </w:r>
    </w:p>
    <w:p w14:paraId="4AB2A7F6">
      <w:pPr>
        <w:pStyle w:val="4"/>
        <w:adjustRightInd w:val="0"/>
        <w:snapToGrid w:val="0"/>
        <w:spacing w:before="0" w:beforeAutospacing="0" w:after="0" w:afterAutospacing="0" w:line="480" w:lineRule="exact"/>
        <w:ind w:firstLine="480"/>
        <w:jc w:val="right"/>
        <w:rPr>
          <w:rFonts w:hint="eastAsia"/>
        </w:rPr>
      </w:pPr>
      <w:r>
        <w:rPr>
          <w:rFonts w:hint="eastAsia"/>
          <w:b/>
        </w:rPr>
        <w:t>——四川宜宾党校</w:t>
      </w:r>
    </w:p>
    <w:p w14:paraId="24695B7A">
      <w:pPr>
        <w:pStyle w:val="4"/>
        <w:adjustRightInd w:val="0"/>
        <w:snapToGrid w:val="0"/>
        <w:spacing w:before="0" w:beforeAutospacing="0" w:after="0" w:afterAutospacing="0" w:line="480" w:lineRule="exact"/>
        <w:ind w:firstLine="480" w:firstLineChars="200"/>
        <w:jc w:val="both"/>
      </w:pPr>
      <w:r>
        <w:rPr>
          <w:rFonts w:hint="eastAsia"/>
        </w:rPr>
        <w:t>杨文浩老师受万泽大药房邀请，与王曦英老师共同组织了万泽店长成长训练营项目，为期一年的项目通过人才甄选、团队赋能、实战竞赛、团队共创等等环节，为万泽训练一批优质的中层管理干部候选人。</w:t>
      </w:r>
    </w:p>
    <w:p w14:paraId="65D4E513">
      <w:pPr>
        <w:pStyle w:val="4"/>
        <w:adjustRightInd w:val="0"/>
        <w:snapToGrid w:val="0"/>
        <w:spacing w:before="0" w:beforeAutospacing="0" w:after="0" w:afterAutospacing="0" w:line="480" w:lineRule="exact"/>
        <w:ind w:firstLine="482" w:firstLineChars="200"/>
        <w:jc w:val="right"/>
        <w:rPr>
          <w:rFonts w:hint="eastAsia"/>
        </w:rPr>
      </w:pPr>
      <w:r>
        <w:rPr>
          <w:rFonts w:hint="eastAsia"/>
          <w:b/>
          <w:bCs/>
        </w:rPr>
        <w:t>——深圳万泽大药房系列训练营</w:t>
      </w:r>
    </w:p>
    <w:p w14:paraId="0AF39B7A">
      <w:pPr>
        <w:pStyle w:val="4"/>
        <w:adjustRightInd w:val="0"/>
        <w:snapToGrid w:val="0"/>
        <w:spacing w:before="0" w:beforeAutospacing="0" w:after="0" w:afterAutospacing="0" w:line="480" w:lineRule="exact"/>
        <w:ind w:firstLine="480" w:firstLineChars="200"/>
        <w:jc w:val="both"/>
      </w:pPr>
      <w:r>
        <w:rPr>
          <w:rFonts w:hint="eastAsia"/>
        </w:rPr>
        <w:t>杨老师的人效课程内容详实，逻辑严谨，演绎精彩，风趣幽默，引人入胜，上课我们这些老人家没有一个打瞌睡的，大家连上厕所都不敢去，生怕错过精彩，以前课程抽烟总是间或外出，两天课程一个外出都没有，站在我们上课是很少见的。</w:t>
      </w:r>
    </w:p>
    <w:p w14:paraId="60274B59">
      <w:pPr>
        <w:pStyle w:val="4"/>
        <w:adjustRightInd w:val="0"/>
        <w:snapToGrid w:val="0"/>
        <w:spacing w:before="0" w:beforeAutospacing="0" w:after="0" w:afterAutospacing="0" w:line="480" w:lineRule="exact"/>
        <w:jc w:val="right"/>
        <w:rPr>
          <w:rFonts w:hint="eastAsia"/>
          <w:b/>
          <w:bCs/>
        </w:rPr>
      </w:pPr>
      <w:r>
        <w:rPr>
          <w:rFonts w:hint="eastAsia"/>
          <w:b/>
          <w:bCs/>
        </w:rPr>
        <w:t>——中交四公司公司某高管</w:t>
      </w:r>
    </w:p>
    <w:p w14:paraId="70AE0979">
      <w:pPr>
        <w:pStyle w:val="4"/>
        <w:adjustRightInd w:val="0"/>
        <w:snapToGrid w:val="0"/>
        <w:spacing w:before="0" w:beforeAutospacing="0" w:after="0" w:afterAutospacing="0" w:line="480" w:lineRule="exact"/>
        <w:ind w:firstLine="480" w:firstLineChars="200"/>
        <w:jc w:val="both"/>
      </w:pPr>
      <w:r>
        <w:rPr>
          <w:rFonts w:hint="eastAsia"/>
        </w:rPr>
        <w:t>杨老师给中船黄埔文冲讲授绩效管理与效能激活课程，第一节课程下课，公司高管找到老师立即预约下两次课程。连续安排3期绩效管理课程。</w:t>
      </w:r>
    </w:p>
    <w:p w14:paraId="3C79DD1C">
      <w:pPr>
        <w:pStyle w:val="4"/>
        <w:adjustRightInd w:val="0"/>
        <w:snapToGrid w:val="0"/>
        <w:spacing w:before="0" w:beforeAutospacing="0" w:after="0" w:afterAutospacing="0" w:line="480" w:lineRule="exact"/>
        <w:jc w:val="right"/>
        <w:rPr>
          <w:rFonts w:hint="eastAsia"/>
          <w:b/>
          <w:bCs/>
        </w:rPr>
      </w:pPr>
      <w:r>
        <w:rPr>
          <w:rFonts w:hint="eastAsia"/>
          <w:b/>
          <w:bCs/>
        </w:rPr>
        <w:t>——中船黄埔文冲某高管</w:t>
      </w:r>
    </w:p>
    <w:p w14:paraId="0506B77C">
      <w:pPr>
        <w:pStyle w:val="4"/>
        <w:adjustRightInd w:val="0"/>
        <w:snapToGrid w:val="0"/>
        <w:spacing w:before="0" w:beforeAutospacing="0" w:after="0" w:afterAutospacing="0" w:line="480" w:lineRule="exact"/>
        <w:ind w:firstLine="480" w:firstLineChars="200"/>
        <w:jc w:val="both"/>
      </w:pPr>
      <w:r>
        <w:rPr>
          <w:rFonts w:hint="eastAsia"/>
        </w:rPr>
        <w:t>黄山某汽配企业董事长因阅读老师的课程相关书籍，专程全网搜寻老师联系方式，终于与老师联系上，盛情邀请老师前往黄山市为其全体干部进行了为其2天课程，并于老董事长进行2天的深度沟通交流。</w:t>
      </w:r>
    </w:p>
    <w:p w14:paraId="6C4FE487">
      <w:pPr>
        <w:pStyle w:val="4"/>
        <w:adjustRightInd w:val="0"/>
        <w:snapToGrid w:val="0"/>
        <w:spacing w:before="0" w:beforeAutospacing="0" w:after="0" w:afterAutospacing="0" w:line="480" w:lineRule="exact"/>
        <w:ind w:firstLine="480" w:firstLineChars="200"/>
        <w:jc w:val="both"/>
      </w:pPr>
      <w:r>
        <w:rPr>
          <w:rFonts w:hint="eastAsia"/>
        </w:rPr>
        <w:t>杨老师招财选将多次迭代升级，品誉集团招财选将落地训练营成功转型为落地成交课程。三天两夜课堂成交多期咨询和内训课程。</w:t>
      </w:r>
    </w:p>
    <w:p w14:paraId="230E945C">
      <w:pPr>
        <w:pStyle w:val="4"/>
        <w:adjustRightInd w:val="0"/>
        <w:snapToGrid w:val="0"/>
        <w:spacing w:before="0" w:beforeAutospacing="0" w:after="0" w:afterAutospacing="0" w:line="480" w:lineRule="exact"/>
        <w:jc w:val="right"/>
        <w:rPr>
          <w:rFonts w:hint="eastAsia"/>
          <w:b/>
          <w:bCs/>
        </w:rPr>
      </w:pPr>
      <w:r>
        <w:rPr>
          <w:rFonts w:hint="eastAsia"/>
          <w:b/>
          <w:bCs/>
        </w:rPr>
        <w:t>——黄山某汽配企业董事长</w:t>
      </w:r>
    </w:p>
    <w:p w14:paraId="3EF5DD0E">
      <w:pPr>
        <w:pStyle w:val="4"/>
        <w:adjustRightInd w:val="0"/>
        <w:snapToGrid w:val="0"/>
        <w:spacing w:before="0" w:beforeAutospacing="0" w:after="0" w:afterAutospacing="0" w:line="480" w:lineRule="exact"/>
        <w:ind w:firstLine="480" w:firstLineChars="200"/>
        <w:jc w:val="both"/>
      </w:pPr>
      <w:r>
        <w:rPr>
          <w:rFonts w:hint="eastAsia"/>
        </w:rPr>
        <w:t>杨老师为其讲授管理者的人力资源管理，受到该企业高层一致好评，该企业再次邀请杨老师重温原课题，课程中该公司董事长高度评价杨老师课程，并告知杨老师在第一次上完课程后，老师按照杨老师在课程文化板块的内容重构企业文化内容，这几年企业规模翻倍提升，管理干部数量激增，所以请老师再次来讲授一次，帮他们传道授业解惑。</w:t>
      </w:r>
    </w:p>
    <w:p w14:paraId="62182BBD">
      <w:pPr>
        <w:pStyle w:val="4"/>
        <w:adjustRightInd w:val="0"/>
        <w:snapToGrid w:val="0"/>
        <w:spacing w:before="0" w:beforeAutospacing="0" w:after="0" w:afterAutospacing="0" w:line="480" w:lineRule="exact"/>
        <w:jc w:val="right"/>
        <w:rPr>
          <w:rFonts w:hint="eastAsia"/>
          <w:b/>
          <w:bCs/>
        </w:rPr>
      </w:pPr>
      <w:r>
        <w:rPr>
          <w:rFonts w:hint="eastAsia"/>
          <w:b/>
          <w:bCs/>
        </w:rPr>
        <w:t>——云南昆明九机集团董事长评价</w:t>
      </w:r>
    </w:p>
    <w:p w14:paraId="62914996">
      <w:pPr>
        <w:pStyle w:val="4"/>
        <w:adjustRightInd w:val="0"/>
        <w:snapToGrid w:val="0"/>
        <w:spacing w:before="0" w:beforeAutospacing="0" w:after="0" w:afterAutospacing="0" w:line="480" w:lineRule="exact"/>
        <w:ind w:firstLine="480" w:firstLineChars="200"/>
        <w:jc w:val="both"/>
      </w:pPr>
      <w:r>
        <w:rPr>
          <w:rFonts w:hint="eastAsia"/>
        </w:rPr>
        <w:t>杨老师上课接地气，有干货，能做到内容深入浅出，互动发人深思，带动我们思考。管理课程讲成这样已经不是课程了，演讲就像一场脱口秀，讨论就像一次思想碰撞，这样课程以后我们要多多安排。</w:t>
      </w:r>
    </w:p>
    <w:p w14:paraId="55B58583">
      <w:pPr>
        <w:pStyle w:val="4"/>
        <w:adjustRightInd w:val="0"/>
        <w:snapToGrid w:val="0"/>
        <w:spacing w:before="0" w:beforeAutospacing="0" w:after="0" w:afterAutospacing="0" w:line="480" w:lineRule="exact"/>
        <w:ind w:firstLine="480" w:firstLineChars="200"/>
        <w:jc w:val="both"/>
        <w:rPr>
          <w:rFonts w:cs="微软雅黑"/>
        </w:rPr>
      </w:pPr>
      <w:r>
        <w:rPr>
          <w:rFonts w:hint="eastAsia" w:cs="微软雅黑"/>
        </w:rPr>
        <w:t>精彩课程持续中，期待与您在一起，了不起，……2026期待您的参与，我们用</w:t>
      </w:r>
      <w:r>
        <w:rPr>
          <w:rFonts w:hint="eastAsia" w:cs="微软雅黑"/>
          <w:b/>
          <w:bCs/>
        </w:rPr>
        <w:t>2500次交付实战经验</w:t>
      </w:r>
      <w:r>
        <w:rPr>
          <w:rFonts w:hint="eastAsia" w:cs="微软雅黑"/>
        </w:rPr>
        <w:t>一起共创奇迹，一起创造更多精彩。</w:t>
      </w:r>
    </w:p>
    <w:p w14:paraId="32D704AC">
      <w:pPr>
        <w:pStyle w:val="4"/>
        <w:adjustRightInd w:val="0"/>
        <w:snapToGrid w:val="0"/>
        <w:spacing w:before="0" w:beforeAutospacing="0" w:after="0" w:afterAutospacing="0" w:line="480" w:lineRule="exact"/>
        <w:jc w:val="right"/>
        <w:rPr>
          <w:rFonts w:hint="eastAsia"/>
          <w:b/>
          <w:bCs/>
        </w:rPr>
      </w:pPr>
      <w:r>
        <w:rPr>
          <w:rFonts w:hint="eastAsia"/>
          <w:b/>
          <w:bCs/>
        </w:rPr>
        <w:t>——湖南通信服务公司培训院长</w:t>
      </w:r>
    </w:p>
    <w:p w14:paraId="18422494">
      <w:pPr>
        <w:pStyle w:val="4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  <w:b/>
          <w:bCs/>
          <w:color w:val="0000FF"/>
        </w:rPr>
      </w:pPr>
    </w:p>
    <w:p w14:paraId="5F53377B">
      <w:pPr>
        <w:spacing w:line="480" w:lineRule="exact"/>
        <w:jc w:val="left"/>
        <w:rPr>
          <w:rFonts w:hint="eastAsia"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部分授课</w:t>
      </w:r>
      <w:r>
        <w:rPr>
          <w:rFonts w:hint="eastAsia" w:ascii="宋体" w:hAnsi="宋体"/>
          <w:b/>
          <w:sz w:val="24"/>
          <w:szCs w:val="24"/>
        </w:rPr>
        <w:t>现场</w:t>
      </w:r>
      <w:r>
        <w:rPr>
          <w:rFonts w:ascii="宋体" w:hAnsi="宋体"/>
          <w:b/>
          <w:sz w:val="24"/>
          <w:szCs w:val="24"/>
        </w:rPr>
        <w:t>照片：</w:t>
      </w:r>
    </w:p>
    <w:tbl>
      <w:tblPr>
        <w:tblStyle w:val="5"/>
        <w:tblW w:w="0" w:type="auto"/>
        <w:tblInd w:w="108" w:type="dxa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4657"/>
      </w:tblGrid>
      <w:tr w14:paraId="1E7643C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2" w:hRule="atLeast"/>
        </w:trPr>
        <w:tc>
          <w:tcPr>
            <w:tcW w:w="4678" w:type="dxa"/>
            <w:noWrap w:val="0"/>
            <w:vAlign w:val="center"/>
          </w:tcPr>
          <w:p w14:paraId="4242609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62250" cy="2015490"/>
                  <wp:effectExtent l="0" t="0" r="0" b="3810"/>
                  <wp:docPr id="4" name="图片 142" descr="d4a07e3f6d158d6858aeadf728b5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42" descr="d4a07e3f6d158d6858aeadf728b54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  <w:noWrap w:val="0"/>
            <w:vAlign w:val="center"/>
          </w:tcPr>
          <w:p w14:paraId="73EC00D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62250" cy="2022475"/>
                  <wp:effectExtent l="0" t="0" r="0" b="15875"/>
                  <wp:docPr id="5" name="图片 138" descr="e8e8f9012410244fc38db9259400c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38" descr="e8e8f9012410244fc38db9259400c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2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B195D8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4678" w:type="dxa"/>
            <w:noWrap w:val="0"/>
            <w:vAlign w:val="center"/>
          </w:tcPr>
          <w:p w14:paraId="0A29D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龙南市龙南镇人民政府</w:t>
            </w:r>
          </w:p>
          <w:p w14:paraId="61FF1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《人才“选育用留服”全链条政策解码与创新实践》</w:t>
            </w:r>
          </w:p>
        </w:tc>
        <w:tc>
          <w:tcPr>
            <w:tcW w:w="4657" w:type="dxa"/>
            <w:noWrap w:val="0"/>
            <w:vAlign w:val="center"/>
          </w:tcPr>
          <w:p w14:paraId="281E3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中广核苍南核电</w:t>
            </w:r>
          </w:p>
          <w:p w14:paraId="08F68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《极简绩效--管理者必备的绩效领导力》</w:t>
            </w:r>
          </w:p>
        </w:tc>
      </w:tr>
      <w:tr w14:paraId="51B1D6FF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3" w:hRule="atLeast"/>
        </w:trPr>
        <w:tc>
          <w:tcPr>
            <w:tcW w:w="4678" w:type="dxa"/>
            <w:noWrap w:val="0"/>
            <w:vAlign w:val="center"/>
          </w:tcPr>
          <w:p w14:paraId="59F09DE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55900" cy="2017395"/>
                  <wp:effectExtent l="0" t="0" r="6350" b="1905"/>
                  <wp:docPr id="6" name="图片 141" descr="06b6bab32b0057c046cefe644aa4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41" descr="06b6bab32b0057c046cefe644aa44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01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  <w:noWrap w:val="0"/>
            <w:vAlign w:val="center"/>
          </w:tcPr>
          <w:p w14:paraId="004F4BC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57170" cy="2015490"/>
                  <wp:effectExtent l="0" t="0" r="5080" b="3810"/>
                  <wp:docPr id="7" name="图片 144" descr="e58ad53dab4aa20eb107418313ee36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44" descr="e58ad53dab4aa20eb107418313ee36c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170" cy="201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B55811B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noWrap w:val="0"/>
            <w:vAlign w:val="center"/>
          </w:tcPr>
          <w:p w14:paraId="1B7CB8B4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大唐四川发电</w:t>
            </w:r>
          </w:p>
          <w:p w14:paraId="5B9336E3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《企业深化改革策略及管理提升》</w:t>
            </w:r>
          </w:p>
        </w:tc>
        <w:tc>
          <w:tcPr>
            <w:tcW w:w="4657" w:type="dxa"/>
            <w:noWrap w:val="0"/>
            <w:vAlign w:val="center"/>
          </w:tcPr>
          <w:p w14:paraId="5635B315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北京移动</w:t>
            </w:r>
          </w:p>
          <w:p w14:paraId="1CBCEB16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《目标岗位任职资格与学习地图萃取工作坊》</w:t>
            </w:r>
          </w:p>
        </w:tc>
      </w:tr>
      <w:tr w14:paraId="04B74A3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8" w:type="dxa"/>
            <w:noWrap w:val="0"/>
            <w:vAlign w:val="center"/>
          </w:tcPr>
          <w:p w14:paraId="3BBF14B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62250" cy="2021840"/>
                  <wp:effectExtent l="0" t="0" r="0" b="16510"/>
                  <wp:docPr id="8" name="图片 145" descr="22de1723748201eea22faf978e79ae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45" descr="22de1723748201eea22faf978e79aea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2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  <w:noWrap w:val="0"/>
            <w:vAlign w:val="center"/>
          </w:tcPr>
          <w:p w14:paraId="4C9B3FC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66695" cy="2023110"/>
                  <wp:effectExtent l="0" t="0" r="14605" b="15240"/>
                  <wp:docPr id="9" name="图片 147" descr="5d046382ceb4fb512bf66832b01c9f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47" descr="5d046382ceb4fb512bf66832b01c9fa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695" cy="202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3C1EAF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noWrap w:val="0"/>
            <w:vAlign w:val="center"/>
          </w:tcPr>
          <w:p w14:paraId="33DDFC13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中国电信股份有限公司全渠道运营中心</w:t>
            </w:r>
          </w:p>
          <w:p w14:paraId="70603623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《管理者必备的绩效领导力》</w:t>
            </w:r>
          </w:p>
        </w:tc>
        <w:tc>
          <w:tcPr>
            <w:tcW w:w="4657" w:type="dxa"/>
            <w:noWrap w:val="0"/>
            <w:vAlign w:val="center"/>
          </w:tcPr>
          <w:p w14:paraId="237D17AB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cs="微软雅黑"/>
                <w:szCs w:val="21"/>
              </w:rPr>
            </w:pPr>
            <w:r>
              <w:rPr>
                <w:rFonts w:hint="eastAsia" w:ascii="宋体" w:hAnsi="宋体" w:cs="微软雅黑"/>
                <w:szCs w:val="21"/>
              </w:rPr>
              <w:t>宁波开发投资集团有限公司</w:t>
            </w:r>
          </w:p>
          <w:p w14:paraId="2FD2BF9D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微软雅黑"/>
                <w:szCs w:val="21"/>
              </w:rPr>
              <w:t>《进退有道-深化改革背景下的国企人效激活五项策略》</w:t>
            </w:r>
          </w:p>
        </w:tc>
      </w:tr>
      <w:tr w14:paraId="742FC275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</w:trPr>
        <w:tc>
          <w:tcPr>
            <w:tcW w:w="4678" w:type="dxa"/>
            <w:noWrap w:val="0"/>
            <w:vAlign w:val="center"/>
          </w:tcPr>
          <w:p w14:paraId="3C23FB20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62250" cy="2011680"/>
                  <wp:effectExtent l="0" t="0" r="0" b="7620"/>
                  <wp:docPr id="10" name="图片 157" descr="7dc1ba17e4c11f979769f729e0f73d45_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57" descr="7dc1ba17e4c11f979769f729e0f73d45_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  <w:noWrap w:val="0"/>
            <w:vAlign w:val="center"/>
          </w:tcPr>
          <w:p w14:paraId="36FD09C7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64790" cy="2018030"/>
                  <wp:effectExtent l="0" t="0" r="16510" b="1270"/>
                  <wp:docPr id="11" name="图片 159" descr="ef6e70a93a7475559e47f72d65d9b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59" descr="ef6e70a93a7475559e47f72d65d9b4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0" cy="201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7E8CA1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4678" w:type="dxa"/>
            <w:noWrap w:val="0"/>
            <w:vAlign w:val="center"/>
          </w:tcPr>
          <w:p w14:paraId="3CE05CFD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安徽省徐明高速公路管理有限公司</w:t>
            </w:r>
          </w:p>
          <w:p w14:paraId="467EA556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《精准复盘与绩效改进策略工作坊》</w:t>
            </w:r>
          </w:p>
        </w:tc>
        <w:tc>
          <w:tcPr>
            <w:tcW w:w="4657" w:type="dxa"/>
            <w:noWrap w:val="0"/>
            <w:vAlign w:val="center"/>
          </w:tcPr>
          <w:p w14:paraId="4FB65B1B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潍坊公开课</w:t>
            </w:r>
          </w:p>
          <w:p w14:paraId="1CB977F7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《企业用工关系与风险防范》</w:t>
            </w:r>
          </w:p>
        </w:tc>
      </w:tr>
      <w:tr w14:paraId="7531B726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4678" w:type="dxa"/>
            <w:noWrap w:val="0"/>
            <w:vAlign w:val="center"/>
          </w:tcPr>
          <w:p w14:paraId="39436A7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drawing>
                <wp:inline distT="0" distB="0" distL="114300" distR="114300">
                  <wp:extent cx="2755900" cy="2017395"/>
                  <wp:effectExtent l="0" t="0" r="6350" b="1905"/>
                  <wp:docPr id="12" name="图片 160" descr="cc46c8c39397b9e4704e4f0468f68d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60" descr="cc46c8c39397b9e4704e4f0468f68dd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01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  <w:noWrap w:val="0"/>
            <w:vAlign w:val="center"/>
          </w:tcPr>
          <w:p w14:paraId="40DD1EA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54630" cy="2025015"/>
                  <wp:effectExtent l="0" t="0" r="7620" b="13335"/>
                  <wp:docPr id="13" name="图片 133" descr="a84cb44654681571f9ee75906e40ef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3" descr="a84cb44654681571f9ee75906e40ef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630" cy="202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4727B0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4678" w:type="dxa"/>
            <w:noWrap w:val="0"/>
            <w:vAlign w:val="center"/>
          </w:tcPr>
          <w:p w14:paraId="0E39133D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上海国际港务（集团）股份有限公司</w:t>
            </w:r>
          </w:p>
          <w:p w14:paraId="121E791D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《国企“十四五”人才盘点与“十五五”人力资源规划布局》</w:t>
            </w:r>
          </w:p>
        </w:tc>
        <w:tc>
          <w:tcPr>
            <w:tcW w:w="4657" w:type="dxa"/>
            <w:noWrap w:val="0"/>
            <w:vAlign w:val="center"/>
          </w:tcPr>
          <w:p w14:paraId="758A04C8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星汉激光科技</w:t>
            </w:r>
          </w:p>
          <w:p w14:paraId="2E4B11ED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微软雅黑"/>
                <w:szCs w:val="21"/>
                <w:shd w:val="clear" w:color="auto" w:fill="FFFFFF"/>
              </w:rPr>
              <w:t>《企业卓越管理者综合领导力提升》</w:t>
            </w:r>
          </w:p>
        </w:tc>
      </w:tr>
      <w:tr w14:paraId="7621184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noWrap w:val="0"/>
            <w:vAlign w:val="center"/>
          </w:tcPr>
          <w:p w14:paraId="7D45DA6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64155" cy="2023745"/>
                  <wp:effectExtent l="0" t="0" r="17145" b="14605"/>
                  <wp:docPr id="14" name="图片 162" descr="25d97487ff568831d936d8d6fa52c3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62" descr="25d97487ff568831d936d8d6fa52c3d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155" cy="202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  <w:noWrap w:val="0"/>
            <w:vAlign w:val="center"/>
          </w:tcPr>
          <w:p w14:paraId="17FD244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62885" cy="2018665"/>
                  <wp:effectExtent l="0" t="0" r="18415" b="635"/>
                  <wp:docPr id="15" name="图片 163" descr="5abe0f1b46af76652cc96fceafe61d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63" descr="5abe0f1b46af76652cc96fceafe61d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885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3F06FE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4678" w:type="dxa"/>
            <w:noWrap w:val="0"/>
            <w:vAlign w:val="center"/>
          </w:tcPr>
          <w:p w14:paraId="25DF50A5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石家庄以岭药业</w:t>
            </w:r>
          </w:p>
          <w:p w14:paraId="69A88638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《绩效量化管理与组织效能激活》</w:t>
            </w:r>
          </w:p>
        </w:tc>
        <w:tc>
          <w:tcPr>
            <w:tcW w:w="4657" w:type="dxa"/>
            <w:noWrap w:val="0"/>
            <w:vAlign w:val="center"/>
          </w:tcPr>
          <w:p w14:paraId="1E316B46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绵竹市酒业协会</w:t>
            </w:r>
          </w:p>
          <w:p w14:paraId="4563902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《破局重构卓越管理者组织管理优化》</w:t>
            </w:r>
          </w:p>
        </w:tc>
      </w:tr>
      <w:tr w14:paraId="3A6A5D52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4678" w:type="dxa"/>
            <w:noWrap w:val="0"/>
            <w:vAlign w:val="center"/>
          </w:tcPr>
          <w:p w14:paraId="107A6BE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58440" cy="2023110"/>
                  <wp:effectExtent l="0" t="0" r="3810" b="15240"/>
                  <wp:docPr id="16" name="图片 164" descr="976f1b92-7016-4244-b8f7-c0206f3e41f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4" descr="976f1b92-7016-4244-b8f7-c0206f3e41f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440" cy="202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  <w:noWrap w:val="0"/>
            <w:vAlign w:val="center"/>
          </w:tcPr>
          <w:p w14:paraId="5DADDE4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62250" cy="2014220"/>
                  <wp:effectExtent l="0" t="0" r="0" b="5080"/>
                  <wp:docPr id="17" name="图片 165" descr="1c418a68d6cd46403d6dece127d76a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65" descr="1c418a68d6cd46403d6dece127d76a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1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EC15A0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noWrap w:val="0"/>
            <w:vAlign w:val="center"/>
          </w:tcPr>
          <w:p w14:paraId="717083B7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扬子江药业集团</w:t>
            </w:r>
          </w:p>
          <w:p w14:paraId="4B14BD6A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《极简绩效——组织设计与人才梯队构建》</w:t>
            </w:r>
          </w:p>
        </w:tc>
        <w:tc>
          <w:tcPr>
            <w:tcW w:w="4657" w:type="dxa"/>
            <w:noWrap w:val="0"/>
            <w:vAlign w:val="center"/>
          </w:tcPr>
          <w:p w14:paraId="1A733ADC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广东一方制药有限公司</w:t>
            </w:r>
          </w:p>
          <w:p w14:paraId="7EF4BA33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《管理者绩效管理》</w:t>
            </w:r>
          </w:p>
        </w:tc>
      </w:tr>
      <w:tr w14:paraId="73A6F304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noWrap w:val="0"/>
            <w:vAlign w:val="center"/>
          </w:tcPr>
          <w:p w14:paraId="38BC03F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56535" cy="2018665"/>
                  <wp:effectExtent l="0" t="0" r="5715" b="635"/>
                  <wp:docPr id="18" name="图片 166" descr="3aaecab24bc2b007db3484d4b916b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66" descr="3aaecab24bc2b007db3484d4b916b4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6535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  <w:noWrap w:val="0"/>
            <w:vAlign w:val="center"/>
          </w:tcPr>
          <w:p w14:paraId="000E9EC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62250" cy="2020570"/>
                  <wp:effectExtent l="0" t="0" r="0" b="17780"/>
                  <wp:docPr id="19" name="图片 167" descr="420f55c75d3e4cf29cd5558def35fc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67" descr="420f55c75d3e4cf29cd5558def35fc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02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6D66B62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noWrap w:val="0"/>
            <w:vAlign w:val="center"/>
          </w:tcPr>
          <w:p w14:paraId="1C3114A5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重庆腾讯信息技术有限公司</w:t>
            </w:r>
          </w:p>
          <w:p w14:paraId="41D8C329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《赋能增效——基于 OGSM 从目标规划到绩效落地》</w:t>
            </w:r>
          </w:p>
        </w:tc>
        <w:tc>
          <w:tcPr>
            <w:tcW w:w="4657" w:type="dxa"/>
            <w:noWrap w:val="0"/>
            <w:vAlign w:val="center"/>
          </w:tcPr>
          <w:p w14:paraId="02960E88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爱索尔（广州）包装有限公司</w:t>
            </w:r>
          </w:p>
          <w:p w14:paraId="6B9A4C8B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《人力资源绩效管理》</w:t>
            </w:r>
          </w:p>
        </w:tc>
      </w:tr>
      <w:tr w14:paraId="0A28B99C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2" w:hRule="atLeast"/>
        </w:trPr>
        <w:tc>
          <w:tcPr>
            <w:tcW w:w="4678" w:type="dxa"/>
            <w:noWrap w:val="0"/>
            <w:vAlign w:val="center"/>
          </w:tcPr>
          <w:p w14:paraId="07C3E608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65425" cy="2022475"/>
                  <wp:effectExtent l="0" t="0" r="15875" b="15875"/>
                  <wp:docPr id="20" name="图片 170" descr="1764814491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70" descr="176481449152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5425" cy="202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  <w:noWrap w:val="0"/>
            <w:vAlign w:val="center"/>
          </w:tcPr>
          <w:p w14:paraId="7F098736"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drawing>
                <wp:inline distT="0" distB="0" distL="114300" distR="114300">
                  <wp:extent cx="2762885" cy="2019935"/>
                  <wp:effectExtent l="0" t="0" r="18415" b="18415"/>
                  <wp:docPr id="21" name="图片 178" descr="9e079d5368a07836f1aae630fb1730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78" descr="9e079d5368a07836f1aae630fb1730d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885" cy="201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F49C59">
        <w:tblPrEx>
          <w:tbl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  <w:insideH w:val="single" w:color="BFBFBF" w:sz="4" w:space="0"/>
            <w:insideV w:val="single" w:color="BFBF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noWrap w:val="0"/>
            <w:vAlign w:val="center"/>
          </w:tcPr>
          <w:p w14:paraId="0EA145E5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广汽丰田汽车</w:t>
            </w:r>
          </w:p>
          <w:p w14:paraId="5BBF7EC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《非人力资源管理者人力资源管理》</w:t>
            </w:r>
          </w:p>
        </w:tc>
        <w:tc>
          <w:tcPr>
            <w:tcW w:w="4657" w:type="dxa"/>
            <w:noWrap w:val="0"/>
            <w:vAlign w:val="center"/>
          </w:tcPr>
          <w:p w14:paraId="3D244144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天津农村商业银行</w:t>
            </w:r>
          </w:p>
          <w:p w14:paraId="5E5681C4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《DeepSeek技术在组织人事管理实战场景全解析与应用》</w:t>
            </w:r>
          </w:p>
        </w:tc>
      </w:tr>
    </w:tbl>
    <w:p w14:paraId="522CDA28">
      <w:pPr>
        <w:widowControl/>
        <w:ind w:firstLine="240" w:firstLineChars="100"/>
        <w:jc w:val="left"/>
        <w:rPr>
          <w:rFonts w:ascii="宋体" w:hAnsi="宋体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yNDZmYmRlMTc2YTZkZmM3MGI0YzVlZmMzODQ0MWYifQ=="/>
    <w:docVar w:name="KSO_WPS_MARK_KEY" w:val="e4c681b7-fe47-451f-8f1e-4a5a4d576490"/>
  </w:docVars>
  <w:rsids>
    <w:rsidRoot w:val="00172A27"/>
    <w:rsid w:val="0002341B"/>
    <w:rsid w:val="000270FE"/>
    <w:rsid w:val="00033F66"/>
    <w:rsid w:val="00041543"/>
    <w:rsid w:val="00084B3F"/>
    <w:rsid w:val="000A14C0"/>
    <w:rsid w:val="000B1278"/>
    <w:rsid w:val="000D22CF"/>
    <w:rsid w:val="000E0D28"/>
    <w:rsid w:val="001105E3"/>
    <w:rsid w:val="00125F00"/>
    <w:rsid w:val="00126012"/>
    <w:rsid w:val="0013591F"/>
    <w:rsid w:val="00152D0A"/>
    <w:rsid w:val="00162F3C"/>
    <w:rsid w:val="00167263"/>
    <w:rsid w:val="001748C0"/>
    <w:rsid w:val="001C18A6"/>
    <w:rsid w:val="001D49E2"/>
    <w:rsid w:val="00215143"/>
    <w:rsid w:val="00241179"/>
    <w:rsid w:val="00245A6E"/>
    <w:rsid w:val="00252260"/>
    <w:rsid w:val="00263A71"/>
    <w:rsid w:val="00271055"/>
    <w:rsid w:val="002813EC"/>
    <w:rsid w:val="002C15FF"/>
    <w:rsid w:val="002C41AD"/>
    <w:rsid w:val="002D40F2"/>
    <w:rsid w:val="003130C3"/>
    <w:rsid w:val="00354524"/>
    <w:rsid w:val="00362474"/>
    <w:rsid w:val="00366E63"/>
    <w:rsid w:val="00373C5A"/>
    <w:rsid w:val="00375935"/>
    <w:rsid w:val="003D1724"/>
    <w:rsid w:val="003D719A"/>
    <w:rsid w:val="003E3F07"/>
    <w:rsid w:val="004149BA"/>
    <w:rsid w:val="004303C6"/>
    <w:rsid w:val="00471C58"/>
    <w:rsid w:val="004958C2"/>
    <w:rsid w:val="00496D3C"/>
    <w:rsid w:val="004A2676"/>
    <w:rsid w:val="004A2A7C"/>
    <w:rsid w:val="004B72D4"/>
    <w:rsid w:val="00506D19"/>
    <w:rsid w:val="005475F0"/>
    <w:rsid w:val="00564E2C"/>
    <w:rsid w:val="00571DD4"/>
    <w:rsid w:val="0057443E"/>
    <w:rsid w:val="00584B11"/>
    <w:rsid w:val="00584B62"/>
    <w:rsid w:val="005F0E75"/>
    <w:rsid w:val="006158C3"/>
    <w:rsid w:val="006249BC"/>
    <w:rsid w:val="006358B3"/>
    <w:rsid w:val="00674F79"/>
    <w:rsid w:val="006829B7"/>
    <w:rsid w:val="006E1A4B"/>
    <w:rsid w:val="00726C24"/>
    <w:rsid w:val="007362FB"/>
    <w:rsid w:val="0075215F"/>
    <w:rsid w:val="00781AF0"/>
    <w:rsid w:val="0079072E"/>
    <w:rsid w:val="00795B77"/>
    <w:rsid w:val="0079658B"/>
    <w:rsid w:val="007C0A01"/>
    <w:rsid w:val="007C1BFD"/>
    <w:rsid w:val="007F230D"/>
    <w:rsid w:val="007F6F28"/>
    <w:rsid w:val="008007AF"/>
    <w:rsid w:val="00803A1C"/>
    <w:rsid w:val="00837CBF"/>
    <w:rsid w:val="008539F5"/>
    <w:rsid w:val="008610CD"/>
    <w:rsid w:val="00893EF5"/>
    <w:rsid w:val="008948F3"/>
    <w:rsid w:val="008A6F26"/>
    <w:rsid w:val="008A76A1"/>
    <w:rsid w:val="00920875"/>
    <w:rsid w:val="00934A0C"/>
    <w:rsid w:val="00951E6B"/>
    <w:rsid w:val="009803A1"/>
    <w:rsid w:val="00A50A1F"/>
    <w:rsid w:val="00A73485"/>
    <w:rsid w:val="00AE1E62"/>
    <w:rsid w:val="00AE79FC"/>
    <w:rsid w:val="00AF23E4"/>
    <w:rsid w:val="00B16396"/>
    <w:rsid w:val="00B23FA4"/>
    <w:rsid w:val="00B3336B"/>
    <w:rsid w:val="00B36E3D"/>
    <w:rsid w:val="00BB744C"/>
    <w:rsid w:val="00BD2294"/>
    <w:rsid w:val="00BE45BA"/>
    <w:rsid w:val="00BE6D4F"/>
    <w:rsid w:val="00C02F76"/>
    <w:rsid w:val="00C072B6"/>
    <w:rsid w:val="00C33335"/>
    <w:rsid w:val="00C8764E"/>
    <w:rsid w:val="00C87E12"/>
    <w:rsid w:val="00CC2939"/>
    <w:rsid w:val="00CE4A16"/>
    <w:rsid w:val="00CF416F"/>
    <w:rsid w:val="00D737DE"/>
    <w:rsid w:val="00D83845"/>
    <w:rsid w:val="00DA2092"/>
    <w:rsid w:val="00DD6038"/>
    <w:rsid w:val="00DE4AC0"/>
    <w:rsid w:val="00E206F2"/>
    <w:rsid w:val="00E47207"/>
    <w:rsid w:val="00E54954"/>
    <w:rsid w:val="00E654CC"/>
    <w:rsid w:val="00ED3F8E"/>
    <w:rsid w:val="00ED7306"/>
    <w:rsid w:val="00F10DCA"/>
    <w:rsid w:val="00F2338E"/>
    <w:rsid w:val="00F252EF"/>
    <w:rsid w:val="013F2A26"/>
    <w:rsid w:val="01FC5496"/>
    <w:rsid w:val="0247556A"/>
    <w:rsid w:val="02BF3353"/>
    <w:rsid w:val="03901FCF"/>
    <w:rsid w:val="0479767C"/>
    <w:rsid w:val="04BF5D7C"/>
    <w:rsid w:val="06622060"/>
    <w:rsid w:val="071F545F"/>
    <w:rsid w:val="092D003A"/>
    <w:rsid w:val="092D75CA"/>
    <w:rsid w:val="09BE7CE3"/>
    <w:rsid w:val="0A1E11E9"/>
    <w:rsid w:val="0A216043"/>
    <w:rsid w:val="0A4B5BEA"/>
    <w:rsid w:val="0A90209F"/>
    <w:rsid w:val="0CB70E5C"/>
    <w:rsid w:val="0DC078A8"/>
    <w:rsid w:val="0E373E42"/>
    <w:rsid w:val="0E62694E"/>
    <w:rsid w:val="0EAA4EB7"/>
    <w:rsid w:val="0F222DA8"/>
    <w:rsid w:val="11096D31"/>
    <w:rsid w:val="1246411A"/>
    <w:rsid w:val="129B5D64"/>
    <w:rsid w:val="13625B13"/>
    <w:rsid w:val="139F5FD0"/>
    <w:rsid w:val="13A109E2"/>
    <w:rsid w:val="14661880"/>
    <w:rsid w:val="152E39F3"/>
    <w:rsid w:val="1785725D"/>
    <w:rsid w:val="186B3909"/>
    <w:rsid w:val="1A926F6F"/>
    <w:rsid w:val="1AC40C7B"/>
    <w:rsid w:val="1BA333BA"/>
    <w:rsid w:val="1BCE6D6B"/>
    <w:rsid w:val="1BF45396"/>
    <w:rsid w:val="1C1425F4"/>
    <w:rsid w:val="1C2F5910"/>
    <w:rsid w:val="1C5C1540"/>
    <w:rsid w:val="1C7649DF"/>
    <w:rsid w:val="1CE57C16"/>
    <w:rsid w:val="1D8726AA"/>
    <w:rsid w:val="1E8E09BE"/>
    <w:rsid w:val="1F204D21"/>
    <w:rsid w:val="1F82245D"/>
    <w:rsid w:val="22B10096"/>
    <w:rsid w:val="23243032"/>
    <w:rsid w:val="23EF2E2C"/>
    <w:rsid w:val="24854FC6"/>
    <w:rsid w:val="26621A77"/>
    <w:rsid w:val="26723C7F"/>
    <w:rsid w:val="271572C7"/>
    <w:rsid w:val="27483096"/>
    <w:rsid w:val="28986D82"/>
    <w:rsid w:val="2AAF593A"/>
    <w:rsid w:val="2B1E6683"/>
    <w:rsid w:val="2C0F23A5"/>
    <w:rsid w:val="2D4D32BC"/>
    <w:rsid w:val="2DD461B9"/>
    <w:rsid w:val="2DE86C4C"/>
    <w:rsid w:val="2FC120DE"/>
    <w:rsid w:val="30B20A19"/>
    <w:rsid w:val="33301680"/>
    <w:rsid w:val="338F4EC8"/>
    <w:rsid w:val="34CA37F6"/>
    <w:rsid w:val="365D1DAF"/>
    <w:rsid w:val="367852E2"/>
    <w:rsid w:val="369260AD"/>
    <w:rsid w:val="397F5B24"/>
    <w:rsid w:val="3CB3680E"/>
    <w:rsid w:val="3DF73558"/>
    <w:rsid w:val="3E413159"/>
    <w:rsid w:val="3EDF00FB"/>
    <w:rsid w:val="3EE97F9B"/>
    <w:rsid w:val="40253E77"/>
    <w:rsid w:val="415022BB"/>
    <w:rsid w:val="423E1595"/>
    <w:rsid w:val="42937435"/>
    <w:rsid w:val="43B62E26"/>
    <w:rsid w:val="44144F79"/>
    <w:rsid w:val="44157044"/>
    <w:rsid w:val="4429628F"/>
    <w:rsid w:val="44DF0F5D"/>
    <w:rsid w:val="44FD1A27"/>
    <w:rsid w:val="45DE24AD"/>
    <w:rsid w:val="46A45FD2"/>
    <w:rsid w:val="46A93DAA"/>
    <w:rsid w:val="48DB6C84"/>
    <w:rsid w:val="4A474A71"/>
    <w:rsid w:val="4E4B7E3C"/>
    <w:rsid w:val="4ED40A9F"/>
    <w:rsid w:val="4F4246BC"/>
    <w:rsid w:val="4F494BAD"/>
    <w:rsid w:val="4FEC63D6"/>
    <w:rsid w:val="4FFE0390"/>
    <w:rsid w:val="501237C7"/>
    <w:rsid w:val="52706F89"/>
    <w:rsid w:val="53786725"/>
    <w:rsid w:val="53AD3C9A"/>
    <w:rsid w:val="53FB3968"/>
    <w:rsid w:val="55642E8C"/>
    <w:rsid w:val="556A2277"/>
    <w:rsid w:val="55760C1C"/>
    <w:rsid w:val="55A172B1"/>
    <w:rsid w:val="56AF7D88"/>
    <w:rsid w:val="56D03112"/>
    <w:rsid w:val="56DD27C7"/>
    <w:rsid w:val="57D94165"/>
    <w:rsid w:val="582D6138"/>
    <w:rsid w:val="599058F1"/>
    <w:rsid w:val="59B31026"/>
    <w:rsid w:val="5A18057C"/>
    <w:rsid w:val="5A20015D"/>
    <w:rsid w:val="5A4511BC"/>
    <w:rsid w:val="5BAE4535"/>
    <w:rsid w:val="5E0E56A8"/>
    <w:rsid w:val="5E224CAC"/>
    <w:rsid w:val="5E9C2535"/>
    <w:rsid w:val="60AD2609"/>
    <w:rsid w:val="615458B3"/>
    <w:rsid w:val="62725D27"/>
    <w:rsid w:val="627712ED"/>
    <w:rsid w:val="64697734"/>
    <w:rsid w:val="64D40BC4"/>
    <w:rsid w:val="65202733"/>
    <w:rsid w:val="678A0557"/>
    <w:rsid w:val="67C8789F"/>
    <w:rsid w:val="68415DA4"/>
    <w:rsid w:val="69657E39"/>
    <w:rsid w:val="6A4B66FB"/>
    <w:rsid w:val="6AF33055"/>
    <w:rsid w:val="6B917708"/>
    <w:rsid w:val="6BB1587A"/>
    <w:rsid w:val="6BC86517"/>
    <w:rsid w:val="6F060E0B"/>
    <w:rsid w:val="70642FD0"/>
    <w:rsid w:val="708B2D90"/>
    <w:rsid w:val="70A1703D"/>
    <w:rsid w:val="70FB432E"/>
    <w:rsid w:val="71880499"/>
    <w:rsid w:val="71995642"/>
    <w:rsid w:val="71D80099"/>
    <w:rsid w:val="721C4D44"/>
    <w:rsid w:val="721E6668"/>
    <w:rsid w:val="72DB610A"/>
    <w:rsid w:val="735302B6"/>
    <w:rsid w:val="7353290A"/>
    <w:rsid w:val="738A025C"/>
    <w:rsid w:val="741D1844"/>
    <w:rsid w:val="74B46F28"/>
    <w:rsid w:val="7520468C"/>
    <w:rsid w:val="760B22AD"/>
    <w:rsid w:val="763E6B05"/>
    <w:rsid w:val="77482736"/>
    <w:rsid w:val="78702E31"/>
    <w:rsid w:val="789A34CF"/>
    <w:rsid w:val="793B3180"/>
    <w:rsid w:val="79990F38"/>
    <w:rsid w:val="7ADD5A0A"/>
    <w:rsid w:val="7B3A4316"/>
    <w:rsid w:val="7B931C78"/>
    <w:rsid w:val="7C775349"/>
    <w:rsid w:val="7D3B5AC2"/>
    <w:rsid w:val="7DB61C4E"/>
    <w:rsid w:val="7DC03C4F"/>
    <w:rsid w:val="7E0D206E"/>
    <w:rsid w:val="7E7331B5"/>
    <w:rsid w:val="7F7F6BF3"/>
    <w:rsid w:val="7F8474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脚 字符"/>
    <w:link w:val="2"/>
    <w:uiPriority w:val="99"/>
    <w:rPr>
      <w:kern w:val="2"/>
      <w:sz w:val="18"/>
    </w:rPr>
  </w:style>
  <w:style w:type="character" w:customStyle="1" w:styleId="8">
    <w:name w:val="页眉 字符"/>
    <w:link w:val="3"/>
    <w:uiPriority w:val="99"/>
    <w:rPr>
      <w:kern w:val="2"/>
      <w:sz w:val="18"/>
    </w:rPr>
  </w:style>
  <w:style w:type="table" w:customStyle="1" w:styleId="9">
    <w:name w:val="_Style 8"/>
    <w:basedOn w:val="5"/>
    <w:uiPriority w:val="40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8570</Words>
  <Characters>8689</Characters>
  <Lines>64</Lines>
  <Paragraphs>18</Paragraphs>
  <TotalTime>2</TotalTime>
  <ScaleCrop>false</ScaleCrop>
  <LinksUpToDate>false</LinksUpToDate>
  <CharactersWithSpaces>8703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2018-10-13T03:26:00Z</dcterms:created>
  <dc:creator>Administrator</dc:creator>
  <cp:lastModifiedBy>su</cp:lastModifiedBy>
  <dcterms:modified xsi:type="dcterms:W3CDTF">2026-01-08T02:41:40Z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A963E99C0E044D4AADAB70821DC54235_13</vt:lpwstr>
  </property>
  <property fmtid="{D5CDD505-2E9C-101B-9397-08002B2CF9AE}" pid="4" name="KSOTemplateDocerSaveRecord">
    <vt:lpwstr>eyJoZGlkIjoiOTYyZTAzNjk5NDI1ZDQ2MDE0NmJjNjAzOGEzODZkNDciLCJ1c2VySWQiOiIyNDE1ODc5NTkifQ==</vt:lpwstr>
  </property>
</Properties>
</file>