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FA95E">
      <w:pPr>
        <w:spacing w:line="460" w:lineRule="exact"/>
        <w:rPr>
          <w:rFonts w:ascii="宋体" w:hAnsi="宋体" w:cs="宋体"/>
          <w:b/>
          <w:bCs/>
          <w:sz w:val="32"/>
          <w:szCs w:val="36"/>
        </w:rPr>
      </w:pPr>
      <w:r>
        <w:rPr>
          <w:rFonts w:hint="eastAsia" w:ascii="宋体" w:hAnsi="宋体" w:cs="宋体"/>
          <w:sz w:val="24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4271645</wp:posOffset>
            </wp:positionH>
            <wp:positionV relativeFrom="paragraph">
              <wp:posOffset>20955</wp:posOffset>
            </wp:positionV>
            <wp:extent cx="1746250" cy="2373630"/>
            <wp:effectExtent l="0" t="0" r="0" b="0"/>
            <wp:wrapNone/>
            <wp:docPr id="7" name="图片 7" descr="5280b6ae06993c0525c06fff047a753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280b6ae06993c0525c06fff047a7533(1)"/>
                    <pic:cNvPicPr>
                      <a:picLocks noChangeAspect="1"/>
                    </pic:cNvPicPr>
                  </pic:nvPicPr>
                  <pic:blipFill>
                    <a:blip r:embed="rId4"/>
                    <a:srcRect l="11130" t="4352" r="10789" b="24920"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/>
          <w:bCs/>
          <w:sz w:val="32"/>
          <w:szCs w:val="36"/>
        </w:rPr>
        <w:t>李彩玉老师   人力资源管理实战专家</w:t>
      </w:r>
    </w:p>
    <w:p w14:paraId="545D7B3B">
      <w:pPr>
        <w:spacing w:line="460" w:lineRule="exact"/>
        <w:rPr>
          <w:rFonts w:hint="eastAsia" w:ascii="宋体" w:hAnsi="宋体" w:cs="宋体"/>
          <w:sz w:val="24"/>
          <w:szCs w:val="28"/>
        </w:rPr>
      </w:pPr>
      <w:r>
        <w:rPr>
          <w:rFonts w:hint="eastAsia" w:ascii="宋体" w:hAnsi="宋体" w:cs="宋体"/>
          <w:sz w:val="24"/>
          <w:szCs w:val="28"/>
        </w:rPr>
        <w:t>《五维人才官》主创导师</w:t>
      </w:r>
    </w:p>
    <w:p w14:paraId="214D6153">
      <w:pPr>
        <w:spacing w:line="460" w:lineRule="exact"/>
        <w:rPr>
          <w:rFonts w:hint="eastAsia" w:ascii="宋体" w:hAnsi="宋体" w:cs="宋体"/>
          <w:sz w:val="24"/>
          <w:szCs w:val="28"/>
        </w:rPr>
      </w:pPr>
      <w:r>
        <w:rPr>
          <w:rFonts w:hint="eastAsia" w:ascii="宋体" w:hAnsi="宋体" w:cs="宋体"/>
          <w:b/>
          <w:bCs/>
          <w:sz w:val="24"/>
          <w:szCs w:val="28"/>
        </w:rPr>
        <w:t>18年</w:t>
      </w:r>
      <w:r>
        <w:rPr>
          <w:rFonts w:hint="eastAsia" w:ascii="宋体" w:hAnsi="宋体" w:cs="宋体"/>
          <w:sz w:val="24"/>
          <w:szCs w:val="28"/>
        </w:rPr>
        <w:t>企业人力资源管理经验</w:t>
      </w:r>
    </w:p>
    <w:p w14:paraId="309B6D4B">
      <w:pPr>
        <w:spacing w:line="460" w:lineRule="exact"/>
        <w:rPr>
          <w:rFonts w:hint="eastAsia" w:ascii="宋体" w:hAnsi="宋体" w:cs="宋体"/>
          <w:sz w:val="24"/>
          <w:szCs w:val="28"/>
        </w:rPr>
      </w:pPr>
      <w:r>
        <w:rPr>
          <w:rFonts w:hint="eastAsia" w:ascii="宋体" w:hAnsi="宋体" w:cs="宋体"/>
          <w:sz w:val="24"/>
          <w:szCs w:val="28"/>
        </w:rPr>
        <w:t>中山大学EMBA/华南师范教育管理专业</w:t>
      </w:r>
    </w:p>
    <w:p w14:paraId="55BC9C4E">
      <w:pPr>
        <w:spacing w:line="460" w:lineRule="exact"/>
        <w:rPr>
          <w:rFonts w:hint="eastAsia" w:ascii="宋体" w:hAnsi="宋体" w:cs="宋体"/>
          <w:sz w:val="24"/>
          <w:szCs w:val="28"/>
        </w:rPr>
      </w:pPr>
      <w:r>
        <w:rPr>
          <w:rFonts w:hint="eastAsia" w:ascii="宋体" w:hAnsi="宋体" w:cs="宋体"/>
          <w:sz w:val="24"/>
          <w:szCs w:val="28"/>
        </w:rPr>
        <w:t>国家劳动关系协调师/国家高级企业培训师</w:t>
      </w:r>
    </w:p>
    <w:p w14:paraId="3FC52FCE">
      <w:pPr>
        <w:spacing w:line="460" w:lineRule="exact"/>
        <w:rPr>
          <w:rFonts w:hint="eastAsia" w:ascii="宋体" w:hAnsi="宋体" w:cs="宋体"/>
          <w:sz w:val="24"/>
          <w:szCs w:val="28"/>
        </w:rPr>
      </w:pPr>
      <w:r>
        <w:rPr>
          <w:rFonts w:hint="eastAsia" w:ascii="宋体" w:hAnsi="宋体" w:cs="宋体"/>
          <w:sz w:val="24"/>
          <w:szCs w:val="28"/>
        </w:rPr>
        <w:t>国家高级心理咨询师/国家高级人力资源管理师</w:t>
      </w:r>
    </w:p>
    <w:p w14:paraId="0AC7D904">
      <w:pPr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曾任：</w:t>
      </w:r>
      <w:r>
        <w:rPr>
          <w:rFonts w:hint="eastAsia" w:ascii="宋体" w:hAnsi="宋体" w:cs="宋体"/>
          <w:sz w:val="24"/>
          <w:szCs w:val="24"/>
        </w:rPr>
        <w:t>深圳宝安劳动调解委员会丨委员</w:t>
      </w:r>
    </w:p>
    <w:p w14:paraId="2FDD2680">
      <w:pPr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曾任：</w:t>
      </w:r>
      <w:r>
        <w:rPr>
          <w:rFonts w:hint="eastAsia" w:ascii="宋体" w:hAnsi="宋体" w:cs="宋体"/>
          <w:sz w:val="24"/>
          <w:szCs w:val="24"/>
        </w:rPr>
        <w:t>本地宝集团战略中心（总部）丨人力资源总监</w:t>
      </w:r>
    </w:p>
    <w:p w14:paraId="521AD13E">
      <w:pPr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曾任：</w:t>
      </w:r>
      <w:r>
        <w:rPr>
          <w:rFonts w:hint="eastAsia" w:ascii="宋体" w:hAnsi="宋体" w:cs="宋体"/>
          <w:sz w:val="24"/>
          <w:szCs w:val="24"/>
        </w:rPr>
        <w:t>香港建滔集团(上市)总部丨人力资源总监/管理学院院长</w:t>
      </w:r>
    </w:p>
    <w:p w14:paraId="7059F19D">
      <w:pPr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深圳市人社局、深圳总工会、深圳职业能力鉴定中心聘为《百万员工素质提升行动》特聘讲师；深圳多家职业高校聘为《国家人力资源管理师》考证课讲师</w:t>
      </w:r>
    </w:p>
    <w:p w14:paraId="45971583">
      <w:pPr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擅长领域：</w:t>
      </w:r>
      <w:r>
        <w:rPr>
          <w:rFonts w:hint="eastAsia" w:ascii="宋体" w:hAnsi="宋体" w:cs="宋体"/>
          <w:sz w:val="24"/>
          <w:szCs w:val="24"/>
        </w:rPr>
        <w:t>非人、招聘面试、绩效管理、薪酬管理、劳动用工风险管控、人才梯队建设、人力资源体系搭建、人才盘点、HRBP、OKR、人才激励、岗位胜任力建模、管理心理学……</w:t>
      </w:r>
    </w:p>
    <w:p w14:paraId="502117A2">
      <w:pPr>
        <w:spacing w:line="460" w:lineRule="exact"/>
        <w:rPr>
          <w:rFonts w:hint="eastAsia" w:ascii="宋体" w:hAnsi="宋体" w:cs="宋体"/>
          <w:sz w:val="24"/>
          <w:szCs w:val="24"/>
        </w:rPr>
      </w:pPr>
    </w:p>
    <w:p w14:paraId="209481E9">
      <w:pPr>
        <w:spacing w:line="460" w:lineRule="exact"/>
        <w:ind w:firstLine="360" w:firstLineChars="15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李老师拥有</w:t>
      </w:r>
      <w:r>
        <w:rPr>
          <w:rFonts w:hint="eastAsia" w:ascii="宋体" w:hAnsi="宋体" w:cs="宋体"/>
          <w:b/>
          <w:bCs/>
          <w:sz w:val="24"/>
          <w:szCs w:val="24"/>
        </w:rPr>
        <w:t>14年</w:t>
      </w:r>
      <w:r>
        <w:rPr>
          <w:rFonts w:hint="eastAsia" w:ascii="宋体" w:hAnsi="宋体" w:cs="宋体"/>
          <w:sz w:val="24"/>
          <w:szCs w:val="24"/>
        </w:rPr>
        <w:t>企业人力资源管理实践经验，历任人力资源总监、管理学院院长、劳动协调委员会负责人等职位，成功积累扎实的企业管理及人力资源实战经验，有着</w:t>
      </w:r>
      <w:r>
        <w:rPr>
          <w:rFonts w:hint="eastAsia" w:ascii="宋体" w:hAnsi="宋体" w:cs="宋体"/>
          <w:b/>
          <w:bCs/>
          <w:color w:val="C00000"/>
          <w:sz w:val="24"/>
          <w:szCs w:val="24"/>
        </w:rPr>
        <w:t>互联网、房地产、酒店、物业、化工、石油、机械制造、电路板、覆铜板、石墨稀电地暖</w:t>
      </w:r>
      <w:r>
        <w:rPr>
          <w:rFonts w:hint="eastAsia" w:ascii="宋体" w:hAnsi="宋体" w:cs="宋体"/>
          <w:color w:val="000000"/>
          <w:sz w:val="24"/>
          <w:szCs w:val="24"/>
        </w:rPr>
        <w:t>等多重企业高管及人力资源管理实战经验</w:t>
      </w:r>
      <w:r>
        <w:rPr>
          <w:rFonts w:hint="eastAsia" w:ascii="宋体" w:hAnsi="宋体" w:cs="宋体"/>
          <w:sz w:val="24"/>
          <w:szCs w:val="24"/>
        </w:rPr>
        <w:t>；曾为香港建滔集团解决全球</w:t>
      </w:r>
      <w:r>
        <w:rPr>
          <w:rFonts w:hint="eastAsia" w:ascii="宋体" w:hAnsi="宋体" w:cs="宋体"/>
          <w:b/>
          <w:bCs/>
          <w:sz w:val="24"/>
          <w:szCs w:val="24"/>
        </w:rPr>
        <w:t>70家分公司</w:t>
      </w:r>
      <w:r>
        <w:rPr>
          <w:rFonts w:hint="eastAsia" w:ascii="宋体" w:hAnsi="宋体" w:cs="宋体"/>
          <w:sz w:val="24"/>
          <w:szCs w:val="24"/>
        </w:rPr>
        <w:t>的人才储备需求，为企业累计招聘了</w:t>
      </w:r>
      <w:r>
        <w:rPr>
          <w:rFonts w:hint="eastAsia" w:ascii="宋体" w:hAnsi="宋体" w:cs="宋体"/>
          <w:b/>
          <w:bCs/>
          <w:sz w:val="24"/>
          <w:szCs w:val="24"/>
        </w:rPr>
        <w:t>近千名优秀的人才</w:t>
      </w:r>
      <w:r>
        <w:rPr>
          <w:rFonts w:hint="eastAsia" w:ascii="宋体" w:hAnsi="宋体" w:cs="宋体"/>
          <w:sz w:val="24"/>
          <w:szCs w:val="24"/>
        </w:rPr>
        <w:t>，输送到了各分公司，并培养出了</w:t>
      </w:r>
      <w:r>
        <w:rPr>
          <w:rFonts w:hint="eastAsia" w:ascii="宋体" w:hAnsi="宋体" w:cs="宋体"/>
          <w:b/>
          <w:bCs/>
          <w:sz w:val="24"/>
          <w:szCs w:val="24"/>
        </w:rPr>
        <w:t>近百名</w:t>
      </w:r>
      <w:r>
        <w:rPr>
          <w:rFonts w:hint="eastAsia" w:ascii="宋体" w:hAnsi="宋体" w:cs="宋体"/>
          <w:sz w:val="24"/>
          <w:szCs w:val="24"/>
        </w:rPr>
        <w:t>的优秀管理者，得到董事局领导的充分认可。</w:t>
      </w:r>
    </w:p>
    <w:p w14:paraId="7C489C3C">
      <w:pPr>
        <w:spacing w:line="460" w:lineRule="exact"/>
        <w:ind w:firstLine="360" w:firstLineChars="150"/>
        <w:rPr>
          <w:rFonts w:hint="eastAsia" w:ascii="宋体" w:hAnsi="宋体" w:cs="Source Han Sans CN Regular"/>
          <w:sz w:val="24"/>
          <w:szCs w:val="24"/>
        </w:rPr>
      </w:pPr>
      <w:r>
        <w:rPr>
          <w:rFonts w:hint="eastAsia" w:ascii="宋体" w:hAnsi="宋体" w:cs="Source Han Sans CN Regular"/>
          <w:sz w:val="24"/>
          <w:szCs w:val="24"/>
        </w:rPr>
        <w:t>老师更是对人力资源管理体系中</w:t>
      </w:r>
      <w:r>
        <w:rPr>
          <w:rFonts w:hint="eastAsia" w:ascii="宋体" w:hAnsi="宋体" w:cs="Source Han Sans CN Regular"/>
          <w:b/>
          <w:bCs/>
          <w:sz w:val="24"/>
          <w:szCs w:val="24"/>
        </w:rPr>
        <w:t>战略管理、人才预测、人才引进、培训开发、薪酬设计、绩效优化及劳动关系协调及风险管控</w:t>
      </w:r>
      <w:r>
        <w:rPr>
          <w:rFonts w:hint="eastAsia" w:ascii="宋体" w:hAnsi="宋体" w:cs="Source Han Sans CN Regular"/>
          <w:sz w:val="24"/>
          <w:szCs w:val="24"/>
        </w:rPr>
        <w:t>等六大方向模块的建设有完整的设计思路，课程也是广受企业好评，</w:t>
      </w:r>
      <w:r>
        <w:rPr>
          <w:rFonts w:hint="eastAsia" w:ascii="宋体" w:hAnsi="宋体" w:cs="微软雅黑"/>
          <w:sz w:val="24"/>
          <w:szCs w:val="24"/>
        </w:rPr>
        <w:t>至今为止线下授课</w:t>
      </w:r>
      <w:r>
        <w:rPr>
          <w:rFonts w:hint="eastAsia" w:ascii="宋体" w:hAnsi="宋体" w:cs="微软雅黑"/>
          <w:b/>
          <w:bCs/>
          <w:sz w:val="24"/>
          <w:szCs w:val="24"/>
          <w:lang w:eastAsia="zh-Hans"/>
        </w:rPr>
        <w:t>超</w:t>
      </w:r>
      <w:r>
        <w:rPr>
          <w:rFonts w:hint="eastAsia" w:ascii="宋体" w:hAnsi="宋体" w:cs="微软雅黑"/>
          <w:b/>
          <w:bCs/>
          <w:sz w:val="24"/>
          <w:szCs w:val="24"/>
        </w:rPr>
        <w:t>900场</w:t>
      </w:r>
      <w:r>
        <w:rPr>
          <w:rFonts w:hint="eastAsia" w:ascii="宋体" w:hAnsi="宋体" w:cs="微软雅黑"/>
          <w:sz w:val="24"/>
          <w:szCs w:val="24"/>
        </w:rPr>
        <w:t>，参训</w:t>
      </w:r>
      <w:r>
        <w:rPr>
          <w:rFonts w:hint="eastAsia" w:ascii="宋体" w:hAnsi="宋体" w:cs="微软雅黑"/>
          <w:b/>
          <w:bCs/>
          <w:sz w:val="24"/>
          <w:szCs w:val="24"/>
        </w:rPr>
        <w:t>学员780期</w:t>
      </w:r>
      <w:r>
        <w:rPr>
          <w:rFonts w:hint="eastAsia" w:ascii="宋体" w:hAnsi="宋体" w:cs="微软雅黑"/>
          <w:sz w:val="24"/>
          <w:szCs w:val="24"/>
        </w:rPr>
        <w:t>，课程好评率</w:t>
      </w:r>
      <w:r>
        <w:rPr>
          <w:rFonts w:hint="eastAsia" w:ascii="宋体" w:hAnsi="宋体" w:cs="微软雅黑"/>
          <w:b/>
          <w:bCs/>
          <w:sz w:val="24"/>
          <w:szCs w:val="24"/>
        </w:rPr>
        <w:t>达98%</w:t>
      </w:r>
      <w:r>
        <w:rPr>
          <w:rFonts w:hint="eastAsia" w:ascii="宋体" w:hAnsi="宋体" w:cs="微软雅黑"/>
          <w:sz w:val="24"/>
          <w:szCs w:val="24"/>
        </w:rPr>
        <w:t>。线上直播超过</w:t>
      </w:r>
      <w:r>
        <w:rPr>
          <w:rFonts w:hint="eastAsia" w:ascii="宋体" w:hAnsi="宋体" w:cs="微软雅黑"/>
          <w:b/>
          <w:bCs/>
          <w:sz w:val="24"/>
          <w:szCs w:val="24"/>
        </w:rPr>
        <w:t>230场</w:t>
      </w:r>
      <w:r>
        <w:rPr>
          <w:rFonts w:hint="eastAsia" w:ascii="宋体" w:hAnsi="宋体" w:cs="微软雅黑"/>
          <w:sz w:val="24"/>
          <w:szCs w:val="24"/>
        </w:rPr>
        <w:t>，好评率</w:t>
      </w:r>
      <w:r>
        <w:rPr>
          <w:rFonts w:hint="eastAsia" w:ascii="宋体" w:hAnsi="宋体" w:cs="微软雅黑"/>
          <w:b/>
          <w:bCs/>
          <w:sz w:val="24"/>
          <w:szCs w:val="24"/>
        </w:rPr>
        <w:t>100%。</w:t>
      </w:r>
    </w:p>
    <w:p w14:paraId="089EACC6">
      <w:pPr>
        <w:spacing w:line="460" w:lineRule="exact"/>
        <w:rPr>
          <w:rFonts w:hint="eastAsia" w:ascii="宋体" w:hAnsi="宋体" w:cs="宋体"/>
          <w:b/>
          <w:bCs/>
          <w:color w:val="000000"/>
          <w:sz w:val="28"/>
          <w:szCs w:val="30"/>
        </w:rPr>
      </w:pPr>
    </w:p>
    <w:p w14:paraId="4A56EEE3">
      <w:pPr>
        <w:spacing w:line="460" w:lineRule="exact"/>
        <w:rPr>
          <w:rFonts w:hint="eastAsia" w:ascii="宋体" w:hAnsi="宋体" w:cs="宋体"/>
          <w:color w:val="000000"/>
          <w:sz w:val="24"/>
          <w:szCs w:val="28"/>
        </w:rPr>
      </w:pPr>
      <w:r>
        <w:rPr>
          <w:rFonts w:hint="eastAsia" w:ascii="宋体" w:hAnsi="宋体" w:cs="宋体"/>
          <w:b/>
          <w:bCs/>
          <w:color w:val="000000"/>
          <w:sz w:val="24"/>
          <w:szCs w:val="28"/>
        </w:rPr>
        <w:t>实战经验：</w:t>
      </w:r>
    </w:p>
    <w:p w14:paraId="041754D5">
      <w:pPr>
        <w:spacing w:line="460" w:lineRule="exact"/>
        <w:rPr>
          <w:rFonts w:hint="eastAsia" w:ascii="宋体" w:hAnsi="宋体" w:cs="宋体"/>
          <w:b/>
          <w:bCs/>
          <w:color w:val="C00000"/>
          <w:sz w:val="24"/>
          <w:szCs w:val="24"/>
          <w:shd w:val="pct10" w:color="auto" w:fill="FFFFFF"/>
        </w:rPr>
      </w:pPr>
      <w:bookmarkStart w:id="0" w:name="_Hlk24469175"/>
      <w:r>
        <w:rPr>
          <w:rFonts w:hint="eastAsia" w:ascii="宋体" w:hAnsi="宋体" w:cs="宋体"/>
          <w:b/>
          <w:bCs/>
          <w:color w:val="C00000"/>
          <w:sz w:val="24"/>
          <w:szCs w:val="24"/>
          <w:shd w:val="pct10" w:color="auto" w:fill="FFFFFF"/>
        </w:rPr>
        <w:t>1、香港建滔集团</w:t>
      </w:r>
      <w:bookmarkEnd w:id="0"/>
      <w:r>
        <w:rPr>
          <w:rFonts w:hint="eastAsia" w:ascii="宋体" w:hAnsi="宋体" w:cs="宋体"/>
          <w:b/>
          <w:bCs/>
          <w:color w:val="C00000"/>
          <w:sz w:val="24"/>
          <w:szCs w:val="24"/>
          <w:shd w:val="pct10" w:color="auto" w:fill="FFFFFF"/>
        </w:rPr>
        <w:t>（上市）总部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shd w:val="pct10" w:color="auto" w:fill="FFFFFF"/>
        </w:rPr>
        <w:t>（覆铜面板业务</w:t>
      </w:r>
      <w:r>
        <w:rPr>
          <w:rFonts w:hint="eastAsia" w:ascii="宋体" w:hAnsi="宋体" w:cs="宋体"/>
          <w:b/>
          <w:bCs/>
          <w:color w:val="C00000"/>
          <w:sz w:val="24"/>
          <w:szCs w:val="24"/>
          <w:shd w:val="pct10" w:color="auto" w:fill="FFFFFF"/>
        </w:rPr>
        <w:t>全球第一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shd w:val="pct10" w:color="auto" w:fill="FFFFFF"/>
        </w:rPr>
        <w:t>、化工业务全球</w:t>
      </w:r>
      <w:r>
        <w:rPr>
          <w:rFonts w:hint="eastAsia" w:ascii="宋体" w:hAnsi="宋体" w:cs="宋体"/>
          <w:b/>
          <w:bCs/>
          <w:color w:val="C00000"/>
          <w:sz w:val="24"/>
          <w:szCs w:val="24"/>
          <w:shd w:val="pct10" w:color="auto" w:fill="FFFFFF"/>
        </w:rPr>
        <w:t>龙头企业之一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shd w:val="pct10" w:color="auto" w:fill="FFFFFF"/>
        </w:rPr>
        <w:t>）：</w:t>
      </w:r>
    </w:p>
    <w:p w14:paraId="0E1E251B">
      <w:pPr>
        <w:tabs>
          <w:tab w:val="right" w:pos="9638"/>
        </w:tabs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任职【人力资源总监】及【工会主席】期间，管理全球近</w:t>
      </w:r>
      <w:r>
        <w:rPr>
          <w:rFonts w:hint="eastAsia" w:ascii="宋体" w:hAnsi="宋体" w:cs="宋体"/>
          <w:b/>
          <w:bCs/>
          <w:sz w:val="24"/>
          <w:szCs w:val="24"/>
        </w:rPr>
        <w:t>70多家公司，</w:t>
      </w:r>
      <w:r>
        <w:rPr>
          <w:rFonts w:hint="eastAsia" w:ascii="宋体" w:hAnsi="宋体" w:cs="宋体"/>
          <w:sz w:val="24"/>
          <w:szCs w:val="24"/>
        </w:rPr>
        <w:t>任职半年内规范了</w:t>
      </w:r>
      <w:r>
        <w:rPr>
          <w:rFonts w:hint="eastAsia" w:ascii="宋体" w:hAnsi="宋体" w:cs="宋体"/>
          <w:b/>
          <w:bCs/>
          <w:sz w:val="24"/>
          <w:szCs w:val="24"/>
        </w:rPr>
        <w:t>绩效推进、薪酬体系搭建、人才梯队搭建、招聘管理及企业文化建设</w:t>
      </w:r>
      <w:r>
        <w:rPr>
          <w:rFonts w:hint="eastAsia" w:ascii="宋体" w:hAnsi="宋体" w:cs="宋体"/>
          <w:sz w:val="24"/>
          <w:szCs w:val="24"/>
        </w:rPr>
        <w:t>等事宜：</w:t>
      </w:r>
    </w:p>
    <w:p w14:paraId="3582395A">
      <w:pPr>
        <w:tabs>
          <w:tab w:val="right" w:pos="9638"/>
        </w:tabs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color w:val="C00000"/>
          <w:sz w:val="24"/>
          <w:szCs w:val="24"/>
        </w:rPr>
        <w:t>[招聘管理]：</w:t>
      </w:r>
      <w:r>
        <w:rPr>
          <w:rFonts w:hint="eastAsia" w:ascii="宋体" w:hAnsi="宋体" w:cs="宋体"/>
          <w:b/>
          <w:bCs/>
          <w:sz w:val="24"/>
          <w:szCs w:val="24"/>
        </w:rPr>
        <w:t>连续8年，</w:t>
      </w:r>
      <w:r>
        <w:rPr>
          <w:rFonts w:hint="eastAsia" w:ascii="宋体" w:hAnsi="宋体" w:cs="宋体"/>
          <w:sz w:val="24"/>
          <w:szCs w:val="24"/>
        </w:rPr>
        <w:t>为集团优胜劣汰及新增人员</w:t>
      </w:r>
      <w:r>
        <w:rPr>
          <w:rFonts w:hint="eastAsia" w:ascii="宋体" w:hAnsi="宋体" w:cs="宋体"/>
          <w:b/>
          <w:bCs/>
          <w:sz w:val="24"/>
          <w:szCs w:val="24"/>
        </w:rPr>
        <w:t>不低于1000人</w:t>
      </w:r>
      <w:r>
        <w:rPr>
          <w:rFonts w:hint="eastAsia" w:ascii="宋体" w:hAnsi="宋体" w:cs="宋体"/>
          <w:sz w:val="24"/>
          <w:szCs w:val="24"/>
        </w:rPr>
        <w:t>，同时每年统筹校园招聘工作，并前往国家重点大学</w:t>
      </w:r>
      <w:r>
        <w:rPr>
          <w:rFonts w:hint="eastAsia" w:ascii="宋体" w:hAnsi="宋体" w:cs="宋体"/>
          <w:b/>
          <w:bCs/>
          <w:sz w:val="24"/>
          <w:szCs w:val="24"/>
        </w:rPr>
        <w:t>（如清华、北大、武汉等）</w:t>
      </w:r>
      <w:r>
        <w:rPr>
          <w:rFonts w:hint="eastAsia" w:ascii="宋体" w:hAnsi="宋体" w:cs="宋体"/>
          <w:sz w:val="24"/>
          <w:szCs w:val="24"/>
        </w:rPr>
        <w:t>校招为企业输入大量的优秀人才；</w:t>
      </w:r>
    </w:p>
    <w:p w14:paraId="5FDF028B">
      <w:pPr>
        <w:tabs>
          <w:tab w:val="right" w:pos="9638"/>
        </w:tabs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color w:val="C00000"/>
          <w:sz w:val="24"/>
          <w:szCs w:val="24"/>
        </w:rPr>
        <w:t>[组建集团HRBP团队]：</w:t>
      </w:r>
      <w:r>
        <w:rPr>
          <w:rFonts w:hint="eastAsia" w:ascii="宋体" w:hAnsi="宋体" w:cs="宋体"/>
          <w:sz w:val="24"/>
          <w:szCs w:val="24"/>
        </w:rPr>
        <w:t>任职期间，搭建了集团全球70间分公司的HRBP团队，为各企业解决了招人难、用人难、留人难、育人难等难题。</w:t>
      </w:r>
    </w:p>
    <w:p w14:paraId="097167F7">
      <w:pPr>
        <w:tabs>
          <w:tab w:val="right" w:pos="9638"/>
        </w:tabs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color w:val="C00000"/>
          <w:sz w:val="24"/>
          <w:szCs w:val="24"/>
        </w:rPr>
        <w:t>[集团组织优化及用工风险管控]：</w:t>
      </w:r>
      <w:r>
        <w:rPr>
          <w:rFonts w:hint="eastAsia" w:ascii="宋体" w:hAnsi="宋体" w:cs="宋体"/>
          <w:sz w:val="24"/>
          <w:szCs w:val="24"/>
        </w:rPr>
        <w:t>任职期间，曾多次完成企业搬迁、企业并购、组织人员优化等高难度的工作：</w:t>
      </w:r>
    </w:p>
    <w:p w14:paraId="5EAE1D8F">
      <w:pPr>
        <w:tabs>
          <w:tab w:val="right" w:pos="9638"/>
        </w:tabs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</w:t>
      </w:r>
      <w:r>
        <w:rPr>
          <w:rFonts w:hint="eastAsia" w:ascii="宋体" w:hAnsi="宋体" w:cs="宋体"/>
          <w:b/>
          <w:bCs/>
          <w:sz w:val="24"/>
          <w:szCs w:val="24"/>
        </w:rPr>
        <w:t>7次企业搬迁经验</w:t>
      </w:r>
      <w:r>
        <w:rPr>
          <w:rFonts w:hint="eastAsia" w:ascii="宋体" w:hAnsi="宋体" w:cs="宋体"/>
          <w:sz w:val="24"/>
          <w:szCs w:val="24"/>
        </w:rPr>
        <w:t>：涉及员工总人数3000多人，准备充分、合理设计流程，无劳动纠纷，均在半个月内完成全员的遣散及协议签订等工作；</w:t>
      </w:r>
    </w:p>
    <w:p w14:paraId="58B0E4F1">
      <w:pPr>
        <w:tabs>
          <w:tab w:val="right" w:pos="9638"/>
        </w:tabs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</w:t>
      </w:r>
      <w:r>
        <w:rPr>
          <w:rFonts w:hint="eastAsia" w:ascii="宋体" w:hAnsi="宋体" w:cs="宋体"/>
          <w:b/>
          <w:bCs/>
          <w:sz w:val="24"/>
          <w:szCs w:val="24"/>
        </w:rPr>
        <w:t>3次企业并购经验</w:t>
      </w:r>
      <w:r>
        <w:rPr>
          <w:rFonts w:hint="eastAsia" w:ascii="宋体" w:hAnsi="宋体" w:cs="宋体"/>
          <w:sz w:val="24"/>
          <w:szCs w:val="24"/>
        </w:rPr>
        <w:t>：涉及人数2000余人，老师带领团队伙伴从资料收集，员工情况了解，并购方案设计到协议拟定、签合同，整个流程无缝对接，使并购计划顺利完成；</w:t>
      </w:r>
    </w:p>
    <w:p w14:paraId="154BE445">
      <w:pPr>
        <w:tabs>
          <w:tab w:val="right" w:pos="9638"/>
        </w:tabs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③</w:t>
      </w:r>
      <w:r>
        <w:rPr>
          <w:rFonts w:hint="eastAsia" w:ascii="宋体" w:hAnsi="宋体" w:cs="宋体"/>
          <w:b/>
          <w:bCs/>
          <w:sz w:val="24"/>
          <w:szCs w:val="24"/>
        </w:rPr>
        <w:t>2次企业规模性组织人员优化经验：</w:t>
      </w:r>
      <w:r>
        <w:rPr>
          <w:rFonts w:hint="eastAsia" w:ascii="宋体" w:hAnsi="宋体" w:cs="宋体"/>
          <w:sz w:val="24"/>
          <w:szCs w:val="24"/>
        </w:rPr>
        <w:t>由于企业转型、需对组织架构调整及人员优化，涉及人数1300余人，老师从前期的方案设计、资料备案、员工代表大会开展、选取职工代表团、与代表团人员协商、拟定相关方案，到协议签订等整个项目进展顺利，提前完成。</w:t>
      </w:r>
    </w:p>
    <w:p w14:paraId="1B80E211">
      <w:pPr>
        <w:tabs>
          <w:tab w:val="right" w:pos="9638"/>
        </w:tabs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④</w:t>
      </w:r>
      <w:r>
        <w:rPr>
          <w:rFonts w:hint="eastAsia" w:ascii="宋体" w:hAnsi="宋体" w:cs="宋体"/>
          <w:b/>
          <w:bCs/>
          <w:sz w:val="24"/>
          <w:szCs w:val="24"/>
        </w:rPr>
        <w:t>集体纠纷及个人纠纷的处理：</w:t>
      </w:r>
      <w:r>
        <w:rPr>
          <w:rFonts w:hint="eastAsia" w:ascii="宋体" w:hAnsi="宋体" w:cs="宋体"/>
          <w:sz w:val="24"/>
          <w:szCs w:val="24"/>
        </w:rPr>
        <w:t>老师担任HR负责人后，重点学习国家劳动法规、全力建设企业文化，晋升1年内将原来的一年10余起劳动纠纷降为0，真正做到了降本增效，提升全员幸福感）</w:t>
      </w:r>
    </w:p>
    <w:p w14:paraId="3A6D6617">
      <w:pPr>
        <w:tabs>
          <w:tab w:val="right" w:pos="9638"/>
        </w:tabs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color w:val="C00000"/>
          <w:sz w:val="24"/>
          <w:szCs w:val="24"/>
        </w:rPr>
        <w:t>[企业工会]：</w:t>
      </w:r>
      <w:r>
        <w:rPr>
          <w:rFonts w:hint="eastAsia" w:ascii="宋体" w:hAnsi="宋体" w:cs="宋体"/>
          <w:b/>
          <w:bCs/>
          <w:sz w:val="24"/>
          <w:szCs w:val="24"/>
        </w:rPr>
        <w:t>代表宝安区总工会参赛《集体合同签订》：</w:t>
      </w:r>
      <w:r>
        <w:rPr>
          <w:rFonts w:hint="eastAsia" w:ascii="宋体" w:hAnsi="宋体" w:cs="宋体"/>
          <w:sz w:val="24"/>
          <w:szCs w:val="24"/>
        </w:rPr>
        <w:t>从文案策划、参赛作品撰写、参赛队员的培训、到场比赛等全流程设计及指导，最终获得宝安区《企业集体合同签订大赛》团队及个人冠军的好成绩。</w:t>
      </w:r>
    </w:p>
    <w:p w14:paraId="11F257E0">
      <w:pPr>
        <w:tabs>
          <w:tab w:val="right" w:pos="9638"/>
        </w:tabs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color w:val="C00000"/>
          <w:sz w:val="24"/>
          <w:szCs w:val="24"/>
        </w:rPr>
        <w:t>[企业文化建设]：</w:t>
      </w:r>
      <w:r>
        <w:rPr>
          <w:rFonts w:hint="eastAsia" w:ascii="宋体" w:hAnsi="宋体" w:cs="宋体"/>
          <w:color w:val="000000"/>
          <w:sz w:val="24"/>
          <w:szCs w:val="24"/>
        </w:rPr>
        <w:t>带领70家分公司HR经理组织</w:t>
      </w:r>
      <w:r>
        <w:rPr>
          <w:rFonts w:hint="eastAsia" w:ascii="宋体" w:hAnsi="宋体" w:cs="宋体"/>
          <w:sz w:val="24"/>
          <w:szCs w:val="24"/>
        </w:rPr>
        <w:t>开展员工关怀（生日会、员工座谈、各类文艺活动等），提升了员工凝聚力，员工流失率</w:t>
      </w:r>
      <w:r>
        <w:rPr>
          <w:rFonts w:hint="eastAsia" w:ascii="宋体" w:hAnsi="宋体" w:cs="宋体"/>
          <w:b/>
          <w:bCs/>
          <w:sz w:val="24"/>
          <w:szCs w:val="24"/>
        </w:rPr>
        <w:t>由月平均6.9%陆续降至5.2%，劳动纠纷为0。</w:t>
      </w:r>
    </w:p>
    <w:p w14:paraId="1921E5D9">
      <w:pPr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color w:val="C00000"/>
          <w:sz w:val="24"/>
          <w:szCs w:val="24"/>
        </w:rPr>
        <w:t>[人才培养]：</w:t>
      </w:r>
      <w:r>
        <w:rPr>
          <w:rFonts w:hint="eastAsia" w:ascii="宋体" w:hAnsi="宋体" w:cs="宋体"/>
          <w:sz w:val="24"/>
          <w:szCs w:val="24"/>
        </w:rPr>
        <w:t>为解决全球70家分公司的人才储备需求，年均为企业进行</w:t>
      </w:r>
      <w:r>
        <w:rPr>
          <w:rFonts w:hint="eastAsia" w:ascii="宋体" w:hAnsi="宋体" w:cs="宋体"/>
          <w:b/>
          <w:bCs/>
          <w:sz w:val="24"/>
          <w:szCs w:val="24"/>
        </w:rPr>
        <w:t>上百场</w:t>
      </w:r>
      <w:r>
        <w:rPr>
          <w:rFonts w:hint="eastAsia" w:ascii="宋体" w:hAnsi="宋体" w:cs="宋体"/>
          <w:sz w:val="24"/>
          <w:szCs w:val="24"/>
        </w:rPr>
        <w:t>管理课程培训，培养了</w:t>
      </w:r>
      <w:r>
        <w:rPr>
          <w:rFonts w:hint="eastAsia" w:ascii="宋体" w:hAnsi="宋体" w:cs="宋体"/>
          <w:b/>
          <w:bCs/>
          <w:sz w:val="24"/>
          <w:szCs w:val="24"/>
        </w:rPr>
        <w:t>分公司总经理3名</w:t>
      </w:r>
      <w:r>
        <w:rPr>
          <w:rFonts w:hint="eastAsia" w:ascii="宋体" w:hAnsi="宋体" w:cs="宋体"/>
          <w:b/>
          <w:sz w:val="24"/>
          <w:szCs w:val="24"/>
        </w:rPr>
        <w:t>，</w:t>
      </w:r>
      <w:r>
        <w:rPr>
          <w:rFonts w:hint="eastAsia" w:ascii="宋体" w:hAnsi="宋体" w:cs="宋体"/>
          <w:b/>
          <w:bCs/>
          <w:sz w:val="24"/>
          <w:szCs w:val="24"/>
        </w:rPr>
        <w:t>部门经理32名</w:t>
      </w:r>
      <w:r>
        <w:rPr>
          <w:rFonts w:hint="eastAsia" w:ascii="宋体" w:hAnsi="宋体" w:cs="宋体"/>
          <w:b/>
          <w:sz w:val="24"/>
          <w:szCs w:val="24"/>
        </w:rPr>
        <w:t>，部门</w:t>
      </w:r>
      <w:r>
        <w:rPr>
          <w:rFonts w:hint="eastAsia" w:ascii="宋体" w:hAnsi="宋体" w:cs="宋体"/>
          <w:b/>
          <w:bCs/>
          <w:sz w:val="24"/>
          <w:szCs w:val="24"/>
        </w:rPr>
        <w:t>主管近130名</w:t>
      </w:r>
      <w:r>
        <w:rPr>
          <w:rFonts w:hint="eastAsia" w:ascii="宋体" w:hAnsi="宋体" w:cs="宋体"/>
          <w:sz w:val="24"/>
          <w:szCs w:val="24"/>
        </w:rPr>
        <w:t>，</w:t>
      </w:r>
      <w:r>
        <w:rPr>
          <w:rFonts w:hint="eastAsia" w:ascii="宋体" w:hAnsi="宋体" w:cs="宋体"/>
          <w:b/>
          <w:bCs/>
          <w:sz w:val="24"/>
          <w:szCs w:val="24"/>
        </w:rPr>
        <w:t>核心技术工程师45名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447B7585">
      <w:pPr>
        <w:spacing w:line="460" w:lineRule="exact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C00000"/>
          <w:sz w:val="24"/>
          <w:szCs w:val="24"/>
        </w:rPr>
        <w:t>[绩效及薪酬管理]：</w:t>
      </w:r>
      <w:r>
        <w:rPr>
          <w:rFonts w:hint="eastAsia" w:ascii="宋体" w:hAnsi="宋体" w:cs="宋体"/>
          <w:color w:val="000000"/>
          <w:sz w:val="24"/>
          <w:szCs w:val="24"/>
        </w:rPr>
        <w:t>任职第2年，历时6个月，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重新构建了集团70家分子公司绩效薪酬管理</w:t>
      </w:r>
      <w:r>
        <w:rPr>
          <w:rFonts w:hint="eastAsia" w:ascii="宋体" w:hAnsi="宋体" w:cs="宋体"/>
          <w:color w:val="000000"/>
          <w:sz w:val="24"/>
          <w:szCs w:val="24"/>
        </w:rPr>
        <w:t>体系，并运行良好，不仅优化了人才结构，员工满意度明显提高。</w:t>
      </w:r>
    </w:p>
    <w:p w14:paraId="4F58584A">
      <w:pPr>
        <w:spacing w:line="460" w:lineRule="exact"/>
        <w:rPr>
          <w:rFonts w:hint="eastAsia" w:ascii="宋体" w:hAnsi="宋体" w:cs="宋体"/>
          <w:b/>
          <w:bCs/>
          <w:color w:val="C00000"/>
          <w:sz w:val="24"/>
          <w:szCs w:val="24"/>
          <w:shd w:val="pct10" w:color="auto" w:fill="FFFFFF"/>
        </w:rPr>
      </w:pPr>
    </w:p>
    <w:p w14:paraId="0B3FFB15">
      <w:pPr>
        <w:spacing w:line="460" w:lineRule="exact"/>
        <w:rPr>
          <w:rFonts w:hint="eastAsia" w:ascii="宋体" w:hAnsi="宋体" w:cs="宋体"/>
          <w:b/>
          <w:bCs/>
          <w:color w:val="C00000"/>
          <w:sz w:val="24"/>
          <w:szCs w:val="24"/>
          <w:shd w:val="pct10" w:color="auto" w:fill="FFFFFF"/>
        </w:rPr>
      </w:pPr>
      <w:r>
        <w:rPr>
          <w:rFonts w:hint="eastAsia" w:ascii="宋体" w:hAnsi="宋体" w:cs="宋体"/>
          <w:b/>
          <w:bCs/>
          <w:color w:val="C00000"/>
          <w:sz w:val="24"/>
          <w:szCs w:val="24"/>
          <w:shd w:val="pct10" w:color="auto" w:fill="FFFFFF"/>
        </w:rPr>
        <w:t>2、本地宝（互联网企业）集团战略中心：</w:t>
      </w:r>
    </w:p>
    <w:p w14:paraId="30901332">
      <w:pPr>
        <w:tabs>
          <w:tab w:val="right" w:pos="9638"/>
        </w:tabs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任职【人力资源总监】期间，重新制定了人力资源全套及相关体系：招聘管理、绩效管理、薪酬管理、</w:t>
      </w:r>
      <w:bookmarkStart w:id="1" w:name="_Hlk24032949"/>
      <w:r>
        <w:rPr>
          <w:rFonts w:hint="eastAsia" w:ascii="宋体" w:hAnsi="宋体" w:cs="宋体"/>
          <w:sz w:val="24"/>
          <w:szCs w:val="24"/>
        </w:rPr>
        <w:t>核心人才建</w:t>
      </w:r>
      <w:bookmarkEnd w:id="1"/>
      <w:r>
        <w:rPr>
          <w:rFonts w:hint="eastAsia" w:ascii="宋体" w:hAnsi="宋体" w:cs="宋体"/>
          <w:sz w:val="24"/>
          <w:szCs w:val="24"/>
        </w:rPr>
        <w:t>设、人才培养等10多项制度，使公司迈向规范化、体系化：</w:t>
      </w:r>
    </w:p>
    <w:p w14:paraId="223D3258">
      <w:pPr>
        <w:tabs>
          <w:tab w:val="right" w:pos="9638"/>
        </w:tabs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color w:val="C00000"/>
          <w:sz w:val="24"/>
          <w:szCs w:val="24"/>
        </w:rPr>
        <w:t>[战略发展规划]：</w:t>
      </w:r>
      <w:r>
        <w:rPr>
          <w:rFonts w:hint="eastAsia" w:ascii="宋体" w:hAnsi="宋体" w:cs="宋体"/>
          <w:sz w:val="24"/>
          <w:szCs w:val="24"/>
        </w:rPr>
        <w:t>曾与企业高管共同制定公司的</w:t>
      </w:r>
      <w:bookmarkStart w:id="2" w:name="_Hlk24032910"/>
      <w:r>
        <w:rPr>
          <w:rFonts w:hint="eastAsia" w:ascii="宋体" w:hAnsi="宋体" w:cs="宋体"/>
          <w:sz w:val="24"/>
          <w:szCs w:val="24"/>
        </w:rPr>
        <w:t>战略发展规划</w:t>
      </w:r>
      <w:bookmarkEnd w:id="2"/>
      <w:r>
        <w:rPr>
          <w:rFonts w:hint="eastAsia" w:ascii="宋体" w:hAnsi="宋体" w:cs="宋体"/>
          <w:sz w:val="24"/>
          <w:szCs w:val="24"/>
        </w:rPr>
        <w:t>，在</w:t>
      </w:r>
      <w:r>
        <w:rPr>
          <w:rFonts w:hint="eastAsia" w:ascii="宋体" w:hAnsi="宋体" w:cs="宋体"/>
          <w:b/>
          <w:bCs/>
          <w:sz w:val="24"/>
          <w:szCs w:val="24"/>
        </w:rPr>
        <w:t>4个月左右的时间</w:t>
      </w:r>
      <w:r>
        <w:rPr>
          <w:rFonts w:hint="eastAsia" w:ascii="宋体" w:hAnsi="宋体" w:cs="宋体"/>
          <w:sz w:val="24"/>
          <w:szCs w:val="24"/>
        </w:rPr>
        <w:t>分别在</w:t>
      </w:r>
      <w:r>
        <w:rPr>
          <w:rFonts w:hint="eastAsia" w:ascii="宋体" w:hAnsi="宋体" w:cs="宋体"/>
          <w:b/>
          <w:bCs/>
          <w:sz w:val="24"/>
          <w:szCs w:val="24"/>
        </w:rPr>
        <w:t>北京、天津、上海、广州等15个城市</w:t>
      </w:r>
      <w:r>
        <w:rPr>
          <w:rFonts w:hint="eastAsia" w:ascii="宋体" w:hAnsi="宋体" w:cs="宋体"/>
          <w:sz w:val="24"/>
          <w:szCs w:val="24"/>
        </w:rPr>
        <w:t>成立分公司，并组建了团队；</w:t>
      </w:r>
    </w:p>
    <w:p w14:paraId="20C110E5">
      <w:pPr>
        <w:tabs>
          <w:tab w:val="right" w:pos="9638"/>
        </w:tabs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color w:val="C00000"/>
          <w:sz w:val="24"/>
          <w:szCs w:val="24"/>
        </w:rPr>
        <w:t>[核心人才建设]：</w:t>
      </w:r>
      <w:r>
        <w:rPr>
          <w:rFonts w:hint="eastAsia" w:ascii="宋体" w:hAnsi="宋体" w:cs="宋体"/>
          <w:sz w:val="24"/>
          <w:szCs w:val="24"/>
        </w:rPr>
        <w:t>为了满足公司的战略发展，企业在武汉分公司设立了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[人才培养中心]，</w:t>
      </w:r>
      <w:r>
        <w:rPr>
          <w:rFonts w:hint="eastAsia" w:ascii="宋体" w:hAnsi="宋体" w:cs="宋体"/>
          <w:sz w:val="24"/>
          <w:szCs w:val="24"/>
        </w:rPr>
        <w:t>并由老师进行培养和管理，年均开展管理课程</w:t>
      </w:r>
      <w:r>
        <w:rPr>
          <w:rFonts w:hint="eastAsia" w:ascii="宋体" w:hAnsi="宋体" w:cs="宋体"/>
          <w:b/>
          <w:bCs/>
          <w:sz w:val="24"/>
          <w:szCs w:val="24"/>
        </w:rPr>
        <w:t>50场</w:t>
      </w:r>
      <w:r>
        <w:rPr>
          <w:rFonts w:hint="eastAsia" w:ascii="宋体" w:hAnsi="宋体" w:cs="宋体"/>
          <w:sz w:val="24"/>
          <w:szCs w:val="24"/>
        </w:rPr>
        <w:t>，且为企业分公司输送了</w:t>
      </w:r>
      <w:r>
        <w:rPr>
          <w:rFonts w:hint="eastAsia" w:ascii="宋体" w:hAnsi="宋体" w:cs="宋体"/>
          <w:b/>
          <w:bCs/>
          <w:sz w:val="24"/>
          <w:szCs w:val="24"/>
        </w:rPr>
        <w:t>近上百位</w:t>
      </w:r>
      <w:r>
        <w:rPr>
          <w:rFonts w:hint="eastAsia" w:ascii="宋体" w:hAnsi="宋体" w:cs="宋体"/>
          <w:sz w:val="24"/>
          <w:szCs w:val="24"/>
        </w:rPr>
        <w:t>不同岗位的骨干及专业技能人才；</w:t>
      </w:r>
    </w:p>
    <w:p w14:paraId="29B1DA23">
      <w:pPr>
        <w:tabs>
          <w:tab w:val="right" w:pos="9638"/>
        </w:tabs>
        <w:spacing w:line="460" w:lineRule="exact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color w:val="C00000"/>
          <w:sz w:val="24"/>
          <w:szCs w:val="24"/>
        </w:rPr>
        <w:t>[绩效及薪酬管理]：</w:t>
      </w:r>
      <w:r>
        <w:rPr>
          <w:rFonts w:hint="eastAsia" w:ascii="宋体" w:hAnsi="宋体" w:cs="宋体"/>
          <w:sz w:val="24"/>
          <w:szCs w:val="24"/>
        </w:rPr>
        <w:t>老师基于公司的实际情况，结合企业战略发展，对全国各分子公司的绩效及薪酬进行了调整和优化，使得公司于2019年上半年营业额较2018年的</w:t>
      </w:r>
      <w:r>
        <w:rPr>
          <w:rFonts w:hint="eastAsia" w:ascii="宋体" w:hAnsi="宋体" w:cs="宋体"/>
          <w:b/>
          <w:bCs/>
          <w:sz w:val="24"/>
          <w:szCs w:val="24"/>
        </w:rPr>
        <w:t>上涨150%，利润率上涨200%。</w:t>
      </w:r>
    </w:p>
    <w:p w14:paraId="270A4C5B">
      <w:pPr>
        <w:tabs>
          <w:tab w:val="right" w:pos="9638"/>
        </w:tabs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color w:val="C00000"/>
          <w:sz w:val="24"/>
          <w:szCs w:val="24"/>
        </w:rPr>
        <w:t>[组建集团HRBP团队]：</w:t>
      </w:r>
      <w:r>
        <w:rPr>
          <w:rFonts w:hint="eastAsia" w:ascii="宋体" w:hAnsi="宋体" w:cs="宋体"/>
          <w:sz w:val="24"/>
          <w:szCs w:val="24"/>
        </w:rPr>
        <w:t>任职期间，组建了集团HRBP团队，并带领团队在4个月时间在全国各高校招聘应届生200余人，同时完成公司的绩效及薪酬体系的搭建等。</w:t>
      </w:r>
    </w:p>
    <w:p w14:paraId="511FF827">
      <w:pPr>
        <w:tabs>
          <w:tab w:val="right" w:pos="9638"/>
        </w:tabs>
        <w:spacing w:line="460" w:lineRule="exact"/>
        <w:rPr>
          <w:rFonts w:hint="eastAsia" w:ascii="宋体" w:hAnsi="宋体" w:cs="宋体"/>
          <w:sz w:val="24"/>
          <w:szCs w:val="24"/>
        </w:rPr>
      </w:pPr>
    </w:p>
    <w:p w14:paraId="527FD9BE">
      <w:pPr>
        <w:spacing w:line="460" w:lineRule="exact"/>
        <w:rPr>
          <w:rFonts w:hint="eastAsia" w:ascii="宋体" w:hAnsi="宋体" w:cs="宋体"/>
          <w:b/>
          <w:bCs/>
          <w:color w:val="000000"/>
          <w:sz w:val="22"/>
          <w:szCs w:val="24"/>
        </w:rPr>
      </w:pPr>
      <w:r>
        <w:rPr>
          <w:rFonts w:hint="eastAsia" w:ascii="宋体" w:hAnsi="宋体" w:cs="宋体"/>
          <w:b/>
          <w:bCs/>
          <w:color w:val="000000"/>
          <w:sz w:val="22"/>
          <w:szCs w:val="24"/>
        </w:rPr>
        <w:t>部分成功案例：</w:t>
      </w:r>
    </w:p>
    <w:p w14:paraId="0DD1253E">
      <w:pPr>
        <w:tabs>
          <w:tab w:val="right" w:pos="9638"/>
        </w:tabs>
        <w:spacing w:line="460" w:lineRule="exact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Source Han Sans CN Regular"/>
          <w:b/>
          <w:bCs/>
          <w:color w:val="C00000"/>
          <w:sz w:val="24"/>
          <w:szCs w:val="24"/>
        </w:rPr>
        <w:t>[高盛集团薪酬绩效项目]：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为期3个月的高盛集团薪酬绩效优化项目顺利完成。项目初期通过在线调研、实地考察、岗位分析与评估，协助该上市企业重构薪酬绩效、奖金发放及内部人才发展等体系，实现降低用工成本与提升员工凝聚力的双重目标。企业负责人评价：“老师的专业程度超出预期，不仅完成了薪酬绩效优化，更全面提升了我们的人力资源体系，物超所值！”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cs="宋体"/>
          <w:b/>
          <w:bCs/>
          <w:color w:val="C00000"/>
          <w:sz w:val="24"/>
          <w:szCs w:val="24"/>
        </w:rPr>
        <w:t>[主导建滔集团薪酬体系改革项目]：</w:t>
      </w:r>
      <w:r>
        <w:rPr>
          <w:rFonts w:hint="eastAsia" w:ascii="宋体" w:hAnsi="宋体" w:cs="宋体"/>
          <w:sz w:val="24"/>
          <w:szCs w:val="24"/>
        </w:rPr>
        <w:t>针对集团提出优化薪酬，强化激励、赋能增效的薪酬改革项目，从各子公司发展实际出发，组织全面进行人才盘点、岗位分析，岗位价值评估，并针对线路板、房地产各版块进行薪酬体系优化改革。经过长达一年半的项目推进，实现集团下辖企业薪酬体系改革项目落地，人才团队优化，共为集团盘点优选</w:t>
      </w:r>
      <w:r>
        <w:rPr>
          <w:rFonts w:hint="eastAsia" w:ascii="宋体" w:hAnsi="宋体" w:cs="宋体"/>
          <w:b/>
          <w:bCs/>
          <w:sz w:val="24"/>
          <w:szCs w:val="24"/>
        </w:rPr>
        <w:t>输送中层干部30名，</w:t>
      </w:r>
      <w:r>
        <w:rPr>
          <w:rFonts w:hint="eastAsia" w:ascii="宋体" w:hAnsi="宋体" w:cs="宋体"/>
          <w:sz w:val="24"/>
          <w:szCs w:val="24"/>
        </w:rPr>
        <w:t>优化薪酬激励方式提高效能，进一步</w:t>
      </w:r>
      <w:r>
        <w:rPr>
          <w:rFonts w:hint="eastAsia" w:ascii="宋体" w:hAnsi="宋体" w:cs="宋体"/>
          <w:b/>
          <w:bCs/>
          <w:sz w:val="24"/>
          <w:szCs w:val="24"/>
        </w:rPr>
        <w:t>降低集团整体人工成本达3%；</w:t>
      </w:r>
    </w:p>
    <w:p w14:paraId="2B8E7F7C">
      <w:pPr>
        <w:tabs>
          <w:tab w:val="right" w:pos="9638"/>
        </w:tabs>
        <w:spacing w:line="460" w:lineRule="exact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color w:val="C00000"/>
          <w:sz w:val="24"/>
          <w:szCs w:val="24"/>
        </w:rPr>
        <w:t>[主导建滔集团2017年绩效改革项目]：</w:t>
      </w:r>
      <w:r>
        <w:rPr>
          <w:rFonts w:hint="eastAsia" w:ascii="宋体" w:hAnsi="宋体" w:cs="宋体"/>
          <w:sz w:val="24"/>
          <w:szCs w:val="24"/>
        </w:rPr>
        <w:t>针对集团下辖行业跨度大，绩效评估难、绩效落地难等等问题，组织集团人力资源线条干部形成专业团队，开展绩效考核分析，通过选点、带线、成面，经过半年绩效调研、通过标杆跟进、流程梳理、架构整合、对绩效考核的流程进行重构，对绩效考核指标体系进行建滔，复盘考核应用中不足，针对性提出一地一策，因地制宜，形成集团几大板块灵活机动的考核机制，为传统老企业注入绩效活力，让企业各条线干部员工齐心协力，攻坚克难，当年集团</w:t>
      </w:r>
      <w:r>
        <w:rPr>
          <w:rFonts w:hint="eastAsia" w:ascii="宋体" w:hAnsi="宋体" w:cs="宋体"/>
          <w:b/>
          <w:bCs/>
          <w:sz w:val="24"/>
          <w:szCs w:val="24"/>
        </w:rPr>
        <w:t>实现70亿纯利润，</w:t>
      </w:r>
      <w:r>
        <w:rPr>
          <w:rFonts w:hint="eastAsia" w:ascii="宋体" w:hAnsi="宋体" w:cs="宋体"/>
          <w:sz w:val="24"/>
          <w:szCs w:val="24"/>
        </w:rPr>
        <w:t>同比上年度增幅达</w:t>
      </w:r>
      <w:r>
        <w:rPr>
          <w:rFonts w:hint="eastAsia" w:ascii="宋体" w:hAnsi="宋体" w:cs="宋体"/>
          <w:b/>
          <w:bCs/>
          <w:sz w:val="24"/>
          <w:szCs w:val="24"/>
        </w:rPr>
        <w:t>50%。</w:t>
      </w:r>
    </w:p>
    <w:p w14:paraId="68D17F29">
      <w:pPr>
        <w:tabs>
          <w:tab w:val="right" w:pos="9638"/>
        </w:tabs>
        <w:spacing w:line="46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color w:val="C00000"/>
          <w:sz w:val="24"/>
          <w:szCs w:val="24"/>
        </w:rPr>
        <w:t>[主导本地宝人才梯队引进构建项目]：</w:t>
      </w:r>
      <w:r>
        <w:rPr>
          <w:rFonts w:hint="eastAsia" w:ascii="宋体" w:hAnsi="宋体" w:cs="宋体"/>
          <w:sz w:val="24"/>
          <w:szCs w:val="24"/>
        </w:rPr>
        <w:t>企业面临全国布局，人才输出单一导致的人才流动大，适应时间长，新公司难于稳定人才团队的问题，针对性提出人才本土化、高校化、知识化、专业化的四化战略，结合本地宝全国布局实施人才一揽子计划，在分公司布局中提出核心城市高效揽才计划。结合互联网工作吸引新新人才，实施实习+工作+甄选+竞赛原则，把传统招聘变成练兵场，通过半年的时间为本地宝留下大量精英，成功从深圳两家企业发展到立足深圳布局全国，人才数量</w:t>
      </w:r>
      <w:r>
        <w:rPr>
          <w:rFonts w:hint="eastAsia" w:ascii="宋体" w:hAnsi="宋体" w:cs="宋体"/>
          <w:b/>
          <w:bCs/>
          <w:sz w:val="24"/>
          <w:szCs w:val="24"/>
        </w:rPr>
        <w:t>比之前翻了2倍，共计260人。</w:t>
      </w:r>
    </w:p>
    <w:p w14:paraId="7C5BEB72">
      <w:pPr>
        <w:tabs>
          <w:tab w:val="right" w:pos="9638"/>
        </w:tabs>
        <w:spacing w:line="460" w:lineRule="exact"/>
        <w:jc w:val="left"/>
        <w:rPr>
          <w:rFonts w:ascii="宋体" w:hAnsi="宋体" w:cs="宋体"/>
          <w:sz w:val="24"/>
          <w:szCs w:val="24"/>
        </w:rPr>
      </w:pPr>
    </w:p>
    <w:p w14:paraId="05725169">
      <w:pPr>
        <w:tabs>
          <w:tab w:val="right" w:pos="9638"/>
        </w:tabs>
        <w:spacing w:line="460" w:lineRule="exact"/>
        <w:jc w:val="left"/>
        <w:rPr>
          <w:rFonts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主讲课程：</w:t>
      </w:r>
    </w:p>
    <w:p w14:paraId="61A47712">
      <w:pPr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《从合规到增效：劳务工管理全流程风控与效能提升》</w:t>
      </w:r>
    </w:p>
    <w:p w14:paraId="1D53F6CB">
      <w:pPr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《人才致胜：企业人才培养与梯队建设》</w:t>
      </w:r>
    </w:p>
    <w:p w14:paraId="3CB347E0">
      <w:pPr>
        <w:spacing w:line="460" w:lineRule="exac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cs="宋体"/>
          <w:sz w:val="24"/>
          <w:szCs w:val="24"/>
        </w:rPr>
        <w:t>基于公司战略的人才盘点与发展规划实战工作坊</w:t>
      </w:r>
      <w:r>
        <w:rPr>
          <w:rFonts w:hint="eastAsia" w:ascii="宋体" w:hAnsi="宋体" w:cs="宋体"/>
          <w:sz w:val="24"/>
          <w:szCs w:val="24"/>
          <w:lang w:eastAsia="zh-CN"/>
        </w:rPr>
        <w:t>》</w:t>
      </w:r>
    </w:p>
    <w:p w14:paraId="3C9BEB96">
      <w:pPr>
        <w:spacing w:line="460" w:lineRule="exac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cs="宋体"/>
          <w:sz w:val="24"/>
          <w:szCs w:val="24"/>
        </w:rPr>
        <w:t>绩效赋能：绩效目标拆解到绩效辅导改进闭环</w:t>
      </w:r>
      <w:r>
        <w:rPr>
          <w:rFonts w:hint="eastAsia" w:ascii="宋体" w:hAnsi="宋体" w:cs="宋体"/>
          <w:sz w:val="24"/>
          <w:szCs w:val="24"/>
          <w:lang w:eastAsia="zh-CN"/>
        </w:rPr>
        <w:t>》</w:t>
      </w:r>
    </w:p>
    <w:p w14:paraId="2AFCD893">
      <w:pPr>
        <w:spacing w:line="460" w:lineRule="exac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《迈向卓越：管理者角色智慧与领导力重塑的艺术》</w:t>
      </w:r>
    </w:p>
    <w:p w14:paraId="3A8FFCC0">
      <w:pPr>
        <w:spacing w:line="460" w:lineRule="exac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《赢在校招：Z时代人才引进实战（宣讲+面试）》</w:t>
      </w:r>
    </w:p>
    <w:p w14:paraId="6FBEC07B">
      <w:pPr>
        <w:spacing w:line="460" w:lineRule="exac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cs="宋体"/>
          <w:sz w:val="24"/>
          <w:szCs w:val="24"/>
        </w:rPr>
        <w:t>战略驱动，精益致胜：HRBP组织效能与人效提升实战</w:t>
      </w:r>
      <w:r>
        <w:rPr>
          <w:rFonts w:hint="eastAsia" w:ascii="宋体" w:hAnsi="宋体" w:cs="宋体"/>
          <w:sz w:val="24"/>
          <w:szCs w:val="24"/>
          <w:lang w:eastAsia="zh-CN"/>
        </w:rPr>
        <w:t>》</w:t>
      </w:r>
    </w:p>
    <w:p w14:paraId="4BE09DEF">
      <w:pPr>
        <w:spacing w:line="460" w:lineRule="exac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《战略协同，业人融合——新时代企业培训体系搭建及年度培训计划方案落地》</w:t>
      </w:r>
      <w:bookmarkStart w:id="3" w:name="_GoBack"/>
      <w:bookmarkEnd w:id="3"/>
    </w:p>
    <w:p w14:paraId="739821E0">
      <w:pPr>
        <w:spacing w:line="460" w:lineRule="exact"/>
        <w:rPr>
          <w:rFonts w:hint="eastAsia" w:ascii="宋体" w:hAnsi="宋体" w:cs="宋体"/>
          <w:sz w:val="24"/>
          <w:szCs w:val="24"/>
        </w:rPr>
      </w:pPr>
    </w:p>
    <w:p w14:paraId="08D89F65">
      <w:pPr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部分授课案例：（</w:t>
      </w:r>
      <w:r>
        <w:rPr>
          <w:rFonts w:hint="eastAsia" w:ascii="宋体" w:hAnsi="宋体" w:cs="Source Han Sans CN Regular"/>
          <w:b/>
          <w:color w:val="000000"/>
          <w:kern w:val="0"/>
          <w:szCs w:val="21"/>
          <w:lang w:bidi="ar"/>
        </w:rPr>
        <w:t>课程交付排名前10课题）</w:t>
      </w:r>
    </w:p>
    <w:tbl>
      <w:tblPr>
        <w:tblStyle w:val="7"/>
        <w:tblW w:w="100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4712"/>
        <w:gridCol w:w="1238"/>
        <w:gridCol w:w="3131"/>
      </w:tblGrid>
      <w:tr w14:paraId="24309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8750A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课题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EECFB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交付期数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625B0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交付（代表）企业/单位</w:t>
            </w:r>
          </w:p>
        </w:tc>
      </w:tr>
      <w:tr w14:paraId="2B301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26A0B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课题一</w:t>
            </w:r>
          </w:p>
        </w:tc>
        <w:tc>
          <w:tcPr>
            <w:tcW w:w="4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B26A0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《非人力资源管理者的人力资源管理》（版权）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5A111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135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0D3F4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中国移动、广州地铁、比亚迪</w:t>
            </w:r>
          </w:p>
        </w:tc>
      </w:tr>
      <w:tr w14:paraId="71A66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39B10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课题二</w:t>
            </w:r>
          </w:p>
        </w:tc>
        <w:tc>
          <w:tcPr>
            <w:tcW w:w="4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0B1CB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《职场金伯乐——人才招聘与甄选技术》（版权）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191B0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ED7B7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格力、中国平安、中国工商银行</w:t>
            </w:r>
          </w:p>
        </w:tc>
      </w:tr>
      <w:tr w14:paraId="64516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88619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课题三</w:t>
            </w:r>
          </w:p>
        </w:tc>
        <w:tc>
          <w:tcPr>
            <w:tcW w:w="4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D3CBB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《目标为王——可复制的绩效管理及改进技术》（版权）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FAEFE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9370B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中核四0四、富士康、中建八局</w:t>
            </w:r>
          </w:p>
        </w:tc>
      </w:tr>
      <w:tr w14:paraId="55D3A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49F0F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课题四</w:t>
            </w:r>
          </w:p>
        </w:tc>
        <w:tc>
          <w:tcPr>
            <w:tcW w:w="4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6CC1A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《金牌校招官——应届生的招聘与甄选技术》（版权）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0F07E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6CC97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一汽、中建二局、华西集团</w:t>
            </w:r>
          </w:p>
        </w:tc>
      </w:tr>
      <w:tr w14:paraId="7421E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A3569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课题五</w:t>
            </w:r>
          </w:p>
        </w:tc>
        <w:tc>
          <w:tcPr>
            <w:tcW w:w="4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FC9BA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《金牌宣讲官——校园招聘成功宣讲四法曲》（版权）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A8A1C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12E15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中车、江苏省农信合、中建三局</w:t>
            </w:r>
          </w:p>
        </w:tc>
      </w:tr>
      <w:tr w14:paraId="7FF10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51A55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课题六</w:t>
            </w:r>
          </w:p>
        </w:tc>
        <w:tc>
          <w:tcPr>
            <w:tcW w:w="4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01335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《劳动关系百宝箱——助力企业劳动用工0风险》（版权）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DBA68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52609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上海城投、中国邮政、贵阳银行</w:t>
            </w:r>
          </w:p>
        </w:tc>
      </w:tr>
      <w:tr w14:paraId="46E76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61C72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课题七</w:t>
            </w:r>
          </w:p>
        </w:tc>
        <w:tc>
          <w:tcPr>
            <w:tcW w:w="4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E2824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《赋能增效——okr目标与关键成果法落地》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6C80A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5151A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重庆鸽牌、三星集团、国家电投</w:t>
            </w:r>
          </w:p>
        </w:tc>
      </w:tr>
      <w:tr w14:paraId="7BFC2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0693B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课题八</w:t>
            </w:r>
          </w:p>
        </w:tc>
        <w:tc>
          <w:tcPr>
            <w:tcW w:w="4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1E017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《精准高效——高绩效辅导与反馈实战》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E9C29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9A784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中信银行、一方制药、上海水务</w:t>
            </w:r>
          </w:p>
        </w:tc>
      </w:tr>
      <w:tr w14:paraId="009B8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89D30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课题九</w:t>
            </w:r>
          </w:p>
        </w:tc>
        <w:tc>
          <w:tcPr>
            <w:tcW w:w="4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2F8B3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《与业务共赢——HRBP如何支持业务落地》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BE90E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8AC02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中国工商银行、广州地铁、中石化</w:t>
            </w:r>
          </w:p>
        </w:tc>
      </w:tr>
      <w:tr w14:paraId="03D02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A8986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课题十</w:t>
            </w:r>
          </w:p>
        </w:tc>
        <w:tc>
          <w:tcPr>
            <w:tcW w:w="4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ABB77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《化危为机——企业保密管理与泄密预防》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684BF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F55EC">
            <w:pPr>
              <w:widowControl/>
              <w:jc w:val="center"/>
              <w:textAlignment w:val="center"/>
              <w:rPr>
                <w:rFonts w:hint="eastAsia" w:ascii="宋体" w:hAnsi="宋体" w:cs="Source Han Sans CN Regular"/>
                <w:color w:val="000000"/>
                <w:szCs w:val="21"/>
              </w:rPr>
            </w:pPr>
            <w:r>
              <w:rPr>
                <w:rFonts w:hint="eastAsia" w:ascii="宋体" w:hAnsi="宋体" w:cs="Source Han Sans CN Regular"/>
                <w:color w:val="000000"/>
                <w:kern w:val="0"/>
                <w:szCs w:val="21"/>
                <w:lang w:bidi="ar"/>
              </w:rPr>
              <w:t>国能集团、山西城投、中国联通</w:t>
            </w:r>
          </w:p>
        </w:tc>
      </w:tr>
    </w:tbl>
    <w:p w14:paraId="24D83EAD">
      <w:pPr>
        <w:spacing w:line="460" w:lineRule="exact"/>
        <w:rPr>
          <w:rFonts w:hint="eastAsia" w:ascii="宋体" w:hAnsi="宋体" w:cs="宋体"/>
          <w:b/>
          <w:bCs/>
          <w:color w:val="000000"/>
          <w:sz w:val="30"/>
          <w:szCs w:val="30"/>
        </w:rPr>
      </w:pPr>
    </w:p>
    <w:p w14:paraId="16E92D4B">
      <w:pPr>
        <w:spacing w:line="460" w:lineRule="exact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b/>
          <w:bCs/>
          <w:color w:val="000000"/>
          <w:sz w:val="24"/>
          <w:szCs w:val="28"/>
        </w:rPr>
        <w:t>授课风格：</w:t>
      </w:r>
    </w:p>
    <w:p w14:paraId="0A7B63CD">
      <w:pPr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一盘：</w:t>
      </w:r>
      <w:r>
        <w:rPr>
          <w:rFonts w:hint="eastAsia" w:ascii="宋体" w:hAnsi="宋体" w:cs="宋体"/>
          <w:sz w:val="24"/>
          <w:szCs w:val="24"/>
        </w:rPr>
        <w:t>望闻问切，追本溯源，课程定位准；</w:t>
      </w:r>
    </w:p>
    <w:p w14:paraId="3AB062E0">
      <w:pPr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二建：</w:t>
      </w:r>
      <w:r>
        <w:rPr>
          <w:rFonts w:hint="eastAsia" w:ascii="宋体" w:hAnsi="宋体" w:cs="宋体"/>
          <w:sz w:val="24"/>
          <w:szCs w:val="24"/>
        </w:rPr>
        <w:t>选序渐进，构建心智，课程接受易；</w:t>
      </w:r>
    </w:p>
    <w:p w14:paraId="1BCDF615">
      <w:pPr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三萃：</w:t>
      </w:r>
      <w:r>
        <w:rPr>
          <w:rFonts w:hint="eastAsia" w:ascii="宋体" w:hAnsi="宋体" w:cs="宋体"/>
          <w:sz w:val="24"/>
          <w:szCs w:val="24"/>
        </w:rPr>
        <w:t>反转课堂，教学相长，课程参与高；</w:t>
      </w:r>
    </w:p>
    <w:p w14:paraId="47663AC7">
      <w:pPr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四赋：</w:t>
      </w:r>
      <w:r>
        <w:rPr>
          <w:rFonts w:hint="eastAsia" w:ascii="宋体" w:hAnsi="宋体" w:cs="宋体"/>
          <w:sz w:val="24"/>
          <w:szCs w:val="24"/>
        </w:rPr>
        <w:t>内化于心、洞悉人性，课程感悟深；</w:t>
      </w:r>
    </w:p>
    <w:p w14:paraId="37E9B225">
      <w:pPr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五博：</w:t>
      </w:r>
      <w:r>
        <w:rPr>
          <w:rFonts w:hint="eastAsia" w:ascii="宋体" w:hAnsi="宋体" w:cs="宋体"/>
          <w:sz w:val="24"/>
          <w:szCs w:val="24"/>
        </w:rPr>
        <w:t>高屋建瓴、谈古论今、课程知识广；</w:t>
      </w:r>
    </w:p>
    <w:p w14:paraId="1B6404B8">
      <w:pPr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六趣：</w:t>
      </w:r>
      <w:r>
        <w:rPr>
          <w:rFonts w:hint="eastAsia" w:ascii="宋体" w:hAnsi="宋体" w:cs="宋体"/>
          <w:sz w:val="24"/>
          <w:szCs w:val="24"/>
        </w:rPr>
        <w:t>因才施教，妙趣横生、课程方法活；</w:t>
      </w:r>
    </w:p>
    <w:p w14:paraId="6715C110">
      <w:pPr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七实：</w:t>
      </w:r>
      <w:r>
        <w:rPr>
          <w:rFonts w:hint="eastAsia" w:ascii="宋体" w:hAnsi="宋体" w:cs="宋体"/>
          <w:sz w:val="24"/>
          <w:szCs w:val="24"/>
        </w:rPr>
        <w:t>鼎新革故、触类旁通、课程干货多；</w:t>
      </w:r>
    </w:p>
    <w:p w14:paraId="489C61D2">
      <w:pPr>
        <w:spacing w:line="46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八优：</w:t>
      </w:r>
      <w:r>
        <w:rPr>
          <w:rFonts w:hint="eastAsia" w:ascii="宋体" w:hAnsi="宋体" w:cs="宋体"/>
          <w:sz w:val="24"/>
          <w:szCs w:val="24"/>
        </w:rPr>
        <w:t>复盘增效、激活赋能、课程转化快。</w:t>
      </w:r>
    </w:p>
    <w:p w14:paraId="32619B6B">
      <w:pPr>
        <w:spacing w:line="4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5AA2B858">
      <w:pPr>
        <w:spacing w:line="460" w:lineRule="exact"/>
        <w:rPr>
          <w:rFonts w:ascii="宋体" w:hAnsi="宋体" w:cs="宋体"/>
          <w:b/>
          <w:bCs/>
          <w:color w:val="000000"/>
          <w:sz w:val="24"/>
          <w:szCs w:val="28"/>
        </w:rPr>
      </w:pPr>
      <w:r>
        <w:rPr>
          <w:rFonts w:hint="eastAsia" w:ascii="宋体" w:hAnsi="宋体" w:cs="宋体"/>
          <w:b/>
          <w:bCs/>
          <w:color w:val="000000"/>
          <w:sz w:val="24"/>
          <w:szCs w:val="28"/>
        </w:rPr>
        <w:t>部分服务客户：</w:t>
      </w:r>
    </w:p>
    <w:p w14:paraId="65942173">
      <w:pPr>
        <w:spacing w:line="460" w:lineRule="exact"/>
        <w:rPr>
          <w:rFonts w:hint="eastAsia" w:ascii="宋体" w:hAnsi="宋体" w:cs="Source Han Sans CN Regular"/>
          <w:b/>
          <w:bCs/>
          <w:sz w:val="24"/>
          <w:szCs w:val="24"/>
        </w:rPr>
      </w:pPr>
      <w:r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  <w:t>银行/金融/保险</w:t>
      </w:r>
      <w:r>
        <w:rPr>
          <w:rFonts w:hint="eastAsia" w:ascii="宋体" w:hAnsi="宋体" w:cs="Source Han Sans CN Regular"/>
          <w:b/>
          <w:bCs/>
          <w:sz w:val="24"/>
          <w:szCs w:val="24"/>
        </w:rPr>
        <w:t>：</w:t>
      </w:r>
      <w:r>
        <w:rPr>
          <w:rFonts w:hint="eastAsia" w:ascii="宋体" w:hAnsi="宋体" w:cs="Source Han Sans CN Regular"/>
          <w:sz w:val="24"/>
          <w:szCs w:val="24"/>
        </w:rPr>
        <w:t>中国银行（8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期）</w:t>
      </w:r>
      <w:r>
        <w:rPr>
          <w:rFonts w:hint="eastAsia" w:ascii="宋体" w:hAnsi="宋体" w:cs="Source Han Sans CN Regular"/>
          <w:sz w:val="24"/>
          <w:szCs w:val="24"/>
        </w:rPr>
        <w:t>、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中国</w:t>
      </w:r>
      <w:r>
        <w:rPr>
          <w:rFonts w:hint="eastAsia" w:ascii="宋体" w:hAnsi="宋体" w:cs="Source Han Sans CN Regular"/>
          <w:sz w:val="24"/>
          <w:szCs w:val="24"/>
        </w:rPr>
        <w:t>建设银行（8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期）</w:t>
      </w:r>
      <w:r>
        <w:rPr>
          <w:rFonts w:hint="eastAsia" w:ascii="宋体" w:hAnsi="宋体" w:cs="Source Han Sans CN Regular"/>
          <w:sz w:val="24"/>
          <w:szCs w:val="24"/>
        </w:rPr>
        <w:t>、农村商业银行（8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期）</w:t>
      </w:r>
      <w:r>
        <w:rPr>
          <w:rFonts w:hint="eastAsia" w:ascii="宋体" w:hAnsi="宋体" w:cs="Source Han Sans CN Regular"/>
          <w:sz w:val="24"/>
          <w:szCs w:val="24"/>
        </w:rPr>
        <w:t>、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中国</w:t>
      </w:r>
      <w:r>
        <w:rPr>
          <w:rFonts w:hint="eastAsia" w:ascii="宋体" w:hAnsi="宋体" w:cs="Source Han Sans CN Regular"/>
          <w:sz w:val="24"/>
          <w:szCs w:val="24"/>
        </w:rPr>
        <w:t>农业银行、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中国工商银行（</w:t>
      </w:r>
      <w:r>
        <w:rPr>
          <w:rFonts w:hint="eastAsia" w:ascii="宋体" w:hAnsi="宋体" w:cs="Source Han Sans CN Regular"/>
          <w:sz w:val="24"/>
          <w:szCs w:val="24"/>
        </w:rPr>
        <w:t>7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期）、招商银行（</w:t>
      </w:r>
      <w:r>
        <w:rPr>
          <w:rFonts w:hint="eastAsia" w:ascii="宋体" w:hAnsi="宋体" w:cs="Source Han Sans CN Regular"/>
          <w:sz w:val="24"/>
          <w:szCs w:val="24"/>
        </w:rPr>
        <w:t>6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期）、</w:t>
      </w:r>
      <w:r>
        <w:rPr>
          <w:rFonts w:hint="eastAsia" w:ascii="宋体" w:hAnsi="宋体" w:cs="Source Han Sans CN Regular"/>
          <w:sz w:val="24"/>
          <w:szCs w:val="24"/>
        </w:rPr>
        <w:t>农村信用合作社（6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期）</w:t>
      </w:r>
      <w:r>
        <w:rPr>
          <w:rFonts w:hint="eastAsia" w:ascii="宋体" w:hAnsi="宋体" w:cs="Source Han Sans CN Regular"/>
          <w:sz w:val="24"/>
          <w:szCs w:val="24"/>
        </w:rPr>
        <w:t>、中国邮政银行（6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期）</w:t>
      </w:r>
      <w:r>
        <w:rPr>
          <w:rFonts w:hint="eastAsia" w:ascii="宋体" w:hAnsi="宋体" w:cs="Source Han Sans CN Regular"/>
          <w:sz w:val="24"/>
          <w:szCs w:val="24"/>
        </w:rPr>
        <w:t>、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上海</w:t>
      </w:r>
      <w:r>
        <w:rPr>
          <w:rFonts w:hint="eastAsia" w:ascii="宋体" w:hAnsi="宋体" w:cs="Source Han Sans CN Regular"/>
          <w:sz w:val="24"/>
          <w:szCs w:val="24"/>
        </w:rPr>
        <w:t>浦东银行、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重庆银行、交通银行、中信银行、中国光大银行（2期）、中原银行（2期）、中国平安银行（6期）、长安银行（2期）、中国农业发展银行、合肥兴泰金融控股（集团）、中国平安保险（</w:t>
      </w:r>
      <w:r>
        <w:rPr>
          <w:rFonts w:hint="eastAsia" w:ascii="宋体" w:hAnsi="宋体" w:cs="Source Han Sans CN Regular"/>
          <w:sz w:val="24"/>
          <w:szCs w:val="24"/>
        </w:rPr>
        <w:t>5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期）、海银财富（2期）、太平人寿、国元农业保险、河南水利投资集团、深圳市诚建通、平安普惠、宁波开投能源集团（2期）、中国烟草（3期）、合景泰富集团、中山金控、深圳市蘑菇财富、广州工业投资控股集团（2期）</w:t>
      </w:r>
      <w:r>
        <w:rPr>
          <w:rFonts w:hint="eastAsia" w:ascii="宋体" w:hAnsi="宋体" w:cs="Source Han Sans CN Regular"/>
          <w:sz w:val="24"/>
          <w:szCs w:val="24"/>
        </w:rPr>
        <w:t>……</w:t>
      </w:r>
    </w:p>
    <w:p w14:paraId="7ED420D9">
      <w:pPr>
        <w:spacing w:line="460" w:lineRule="exact"/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</w:pPr>
      <w:r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  <w:t>电力/水务</w:t>
      </w:r>
      <w:r>
        <w:rPr>
          <w:rFonts w:hint="eastAsia" w:ascii="宋体" w:hAnsi="宋体" w:cs="Source Han Sans CN Regular"/>
          <w:b/>
          <w:bCs/>
          <w:sz w:val="24"/>
          <w:szCs w:val="24"/>
        </w:rPr>
        <w:t>：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国家电网（14期）、广东粤水电、广东水电二局、广东粤电枫树坝、贵州盘江电投、国家电投集团、华能西藏雅鲁藏布江水电开发、中国华电集团、江苏华电、平高集团、中国南方电网、深圳水务集团（2期）、上海水务集团、北京市热力集团、广州科学城排水（2期）、珠海水务、粤海水务（2期）、河南水利投资集团</w:t>
      </w:r>
      <w:r>
        <w:rPr>
          <w:rFonts w:hint="eastAsia" w:ascii="宋体" w:hAnsi="宋体" w:cs="Source Han Sans CN Regular"/>
          <w:sz w:val="24"/>
          <w:szCs w:val="24"/>
        </w:rPr>
        <w:t>……</w:t>
      </w:r>
    </w:p>
    <w:p w14:paraId="2AFD3080">
      <w:pPr>
        <w:spacing w:line="460" w:lineRule="exact"/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</w:pPr>
      <w:r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  <w:t>网络通信/烟草</w:t>
      </w:r>
      <w:r>
        <w:rPr>
          <w:rFonts w:hint="eastAsia" w:ascii="宋体" w:hAnsi="宋体" w:cs="Source Han Sans CN Regular"/>
          <w:b/>
          <w:bCs/>
          <w:sz w:val="24"/>
          <w:szCs w:val="24"/>
        </w:rPr>
        <w:t>：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中国移动（13期）、中国联通（11期）、中国电信（11期）、中兴通讯（2期）、广东珠江数码、中通服建设有限公司、中国烟草（4期）</w:t>
      </w:r>
      <w:r>
        <w:rPr>
          <w:rFonts w:hint="eastAsia" w:ascii="宋体" w:hAnsi="宋体" w:cs="Source Han Sans CN Regular"/>
          <w:sz w:val="24"/>
          <w:szCs w:val="24"/>
        </w:rPr>
        <w:t>……</w:t>
      </w:r>
    </w:p>
    <w:p w14:paraId="4E3A6827">
      <w:pPr>
        <w:spacing w:line="460" w:lineRule="exact"/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</w:pPr>
      <w:r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  <w:t>互联网</w:t>
      </w:r>
      <w:r>
        <w:rPr>
          <w:rFonts w:hint="eastAsia" w:ascii="宋体" w:hAnsi="宋体" w:cs="Source Han Sans CN Regular"/>
          <w:b/>
          <w:bCs/>
          <w:sz w:val="24"/>
          <w:szCs w:val="24"/>
        </w:rPr>
        <w:t>：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成都卫士通、北京亿心宜行、福建亿联网络、广东海圆圆、广州锐森网络、广州中望（4期）</w:t>
      </w:r>
      <w:r>
        <w:rPr>
          <w:rFonts w:hint="eastAsia" w:ascii="宋体" w:hAnsi="宋体" w:cs="Source Han Sans CN Regular"/>
          <w:b/>
          <w:bCs/>
          <w:sz w:val="24"/>
          <w:szCs w:val="24"/>
        </w:rPr>
        <w:t>、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杭州华云（2期）、明源云（3期）、杭州轻寻、江苏平川、上海沃势文化传播（2期）、深圳绿米、深圳市宝视佳科技、</w:t>
      </w:r>
      <w:r>
        <w:rPr>
          <w:rFonts w:hint="eastAsia" w:ascii="宋体" w:hAnsi="宋体" w:cs="Source Han Sans CN Regular"/>
          <w:sz w:val="24"/>
          <w:szCs w:val="24"/>
        </w:rPr>
        <w:t>本地宝（深圳、广州、武汉、上海、南京、苏州、北京）……</w:t>
      </w:r>
    </w:p>
    <w:p w14:paraId="31BA8F37">
      <w:pPr>
        <w:spacing w:line="460" w:lineRule="exact"/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</w:pPr>
      <w:r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  <w:t>建筑/工程项目</w:t>
      </w:r>
      <w:r>
        <w:rPr>
          <w:rFonts w:hint="eastAsia" w:ascii="宋体" w:hAnsi="宋体" w:cs="Source Han Sans CN Regular"/>
          <w:b/>
          <w:bCs/>
          <w:sz w:val="24"/>
          <w:szCs w:val="24"/>
        </w:rPr>
        <w:t>：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中建三局（4期）、中建八局（4期）、中建二局（2期）、中建科技集团、中建政研集团、</w:t>
      </w:r>
      <w:r>
        <w:rPr>
          <w:rFonts w:hint="eastAsia" w:ascii="宋体" w:hAnsi="宋体" w:cs="Source Han Sans CN Regular"/>
          <w:sz w:val="24"/>
          <w:szCs w:val="24"/>
        </w:rPr>
        <w:t>国能大渡河、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中核集团、深圳市市政、深圳市物业发展（集团）、宜辰控股集团、深圳奥雅设计股份、云南水电十四局、中国电建集团中南勘测设计研究院、中国华西（2期）、万科集团、贵州白云城市建设投资集团</w:t>
      </w:r>
      <w:r>
        <w:rPr>
          <w:rFonts w:hint="eastAsia" w:ascii="宋体" w:hAnsi="宋体" w:cs="Source Han Sans CN Regular"/>
          <w:sz w:val="24"/>
          <w:szCs w:val="24"/>
        </w:rPr>
        <w:t>……</w:t>
      </w:r>
    </w:p>
    <w:p w14:paraId="5D14EBCC">
      <w:pPr>
        <w:spacing w:line="460" w:lineRule="exact"/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</w:pPr>
      <w:r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  <w:t>汽车/轮船/火车制造</w:t>
      </w:r>
      <w:r>
        <w:rPr>
          <w:rFonts w:hint="eastAsia" w:ascii="宋体" w:hAnsi="宋体" w:cs="Source Han Sans CN Regular"/>
          <w:b/>
          <w:bCs/>
          <w:sz w:val="24"/>
          <w:szCs w:val="24"/>
        </w:rPr>
        <w:t>：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保利长大工程有限公司、比亚迪、东风本田汽车（3期）、昌河飞机工业（集团）、广汽乘用车有限公司、三一重工（2期）、深圳中外运船务代理有限公司、中车戚墅堰机车车辆工艺研究所有限公司、中国船舶重工集团公司第七一八研究所（邯郸净化设备研究所）、中铁十一局、广汽商贸有限公司、广西地铁集团、中核四O四有限公司、中车株洲电力机车有限公司、中核工程咨询有限公司河北分公司、中交天和机械设备制造有限公司、中国南航集团、凌云工业股份、海南港航、广汽商贸、湖南盈旺汽车零部件、国能朔黄铁路（3期）、广州白云国际机场、国投曹妃甸港口、深圳市建艺装饰集团、</w:t>
      </w:r>
      <w:r>
        <w:rPr>
          <w:rFonts w:hint="eastAsia" w:ascii="宋体" w:hAnsi="宋体" w:cs="Source Han Sans CN Regular"/>
          <w:sz w:val="24"/>
          <w:szCs w:val="24"/>
        </w:rPr>
        <w:t>依利安达（扬州、广州、罗定、泰国、缅甸、昆山、开平）、邦普循环科技集团、凯荣德（深圳、清远、连州）、陕西通汇汽车物流……</w:t>
      </w:r>
    </w:p>
    <w:p w14:paraId="06A6E181">
      <w:pPr>
        <w:spacing w:line="460" w:lineRule="exact"/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</w:pPr>
      <w:r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  <w:t>电子/设备/制造</w:t>
      </w:r>
      <w:r>
        <w:rPr>
          <w:rFonts w:hint="eastAsia" w:ascii="宋体" w:hAnsi="宋体" w:cs="Source Han Sans CN Regular"/>
          <w:b/>
          <w:bCs/>
          <w:sz w:val="24"/>
          <w:szCs w:val="24"/>
        </w:rPr>
        <w:t>：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格力集团、吉田拉链（深圳）有限公司（4期）、</w:t>
      </w:r>
      <w:r>
        <w:rPr>
          <w:rFonts w:hint="eastAsia" w:ascii="宋体" w:hAnsi="宋体" w:cs="Source Han Sans CN Regular"/>
          <w:sz w:val="24"/>
          <w:szCs w:val="24"/>
        </w:rPr>
        <w:t>富士康集团（3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期）</w:t>
      </w:r>
      <w:r>
        <w:rPr>
          <w:rFonts w:hint="eastAsia" w:ascii="宋体" w:hAnsi="宋体" w:cs="Source Han Sans CN Regular"/>
          <w:sz w:val="24"/>
          <w:szCs w:val="24"/>
        </w:rPr>
        <w:t>、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三星集团（3期）、</w:t>
      </w:r>
      <w:r>
        <w:rPr>
          <w:rFonts w:hint="eastAsia" w:ascii="宋体" w:hAnsi="宋体" w:cs="Source Han Sans CN Regular"/>
          <w:sz w:val="24"/>
          <w:szCs w:val="24"/>
        </w:rPr>
        <w:t>广东奥马冰箱、深圳创维、武钢集团（3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期）、</w:t>
      </w:r>
      <w:r>
        <w:rPr>
          <w:rFonts w:hint="eastAsia" w:ascii="宋体" w:hAnsi="宋体" w:cs="Source Han Sans CN Regular"/>
          <w:sz w:val="24"/>
          <w:szCs w:val="24"/>
        </w:rPr>
        <w:t>日立电梯、比克电池、安费诺电子、广东翰新科、宏工科技、湖南邦普（2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期）、惠州锂威新能源、绿萌科技、斯坦道科学仪器、顺特电气、舜宇光學科技、九洲电器、新兴铸管、协鑫集团、新视电子、亚信科技（2期）、振华集团、飞宏（东莞）电子、史陶比尔（杭州）精密机械电子、旭硝子显示玻璃、重庆鸽牌电线电缆、东丽高新聚化（南通）有限公司、广东汇伟塑胶、广西龙州新翔生态铝业、长鑫存储技、广东肯富来泵业、佛山高砂工业窑炉、厦门厦钨新能源、北方华创科技集团、深圳市励展科技有限公司（2期）、深圳安吉尔饮水产业、</w:t>
      </w:r>
      <w:r>
        <w:rPr>
          <w:rFonts w:hint="eastAsia" w:ascii="宋体" w:hAnsi="宋体" w:cs="Source Han Sans CN Regular"/>
          <w:sz w:val="24"/>
          <w:szCs w:val="24"/>
        </w:rPr>
        <w:t>永天机械、深圳达信厂、惠州东阳、惠州建业、建滔昆山地暖、建滔佛冈地暖、广州建滔广场、上海建滔广场、扬州实友化工、河北醋酸、山东高密建滔、山西万鑫达、江西宏丰、广州同创、惠州忠信、清远世纪玻纤、连州铜箔、韶关化工、江门高科技、开平太平洋、江门荣信电路板、东莞万年富、江苏化工……</w:t>
      </w:r>
    </w:p>
    <w:p w14:paraId="4B25D706">
      <w:pPr>
        <w:spacing w:line="460" w:lineRule="exact"/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</w:pPr>
      <w:r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  <w:t>医疗/医药</w:t>
      </w:r>
      <w:r>
        <w:rPr>
          <w:rFonts w:hint="eastAsia" w:ascii="宋体" w:hAnsi="宋体" w:cs="Source Han Sans CN Regular"/>
          <w:b/>
          <w:bCs/>
          <w:sz w:val="24"/>
          <w:szCs w:val="24"/>
        </w:rPr>
        <w:t>：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广东一方制药（2期）、青岛环山生物科技有限公司、深圳市海普瑞药业集团股份有限公司、深圳市南山区医疗集团总部、维怡美生物科技（广州）有限公司、深圳兰希黎科技有限公司</w:t>
      </w:r>
      <w:r>
        <w:rPr>
          <w:rFonts w:hint="eastAsia" w:ascii="宋体" w:hAnsi="宋体" w:cs="Source Han Sans CN Regular"/>
          <w:b/>
          <w:bCs/>
          <w:sz w:val="24"/>
          <w:szCs w:val="24"/>
        </w:rPr>
        <w:t>、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福建晶特尔美可普医疗管理有限公司、福州美可普口腔医院有限公司</w:t>
      </w:r>
      <w:r>
        <w:rPr>
          <w:rFonts w:hint="eastAsia" w:ascii="宋体" w:hAnsi="宋体" w:cs="Source Han Sans CN Regular"/>
          <w:sz w:val="24"/>
          <w:szCs w:val="24"/>
        </w:rPr>
        <w:t>……</w:t>
      </w:r>
    </w:p>
    <w:p w14:paraId="05B6CDC3">
      <w:pPr>
        <w:spacing w:line="460" w:lineRule="exact"/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</w:pPr>
      <w:r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  <w:t>化工/能源/研发/技术</w:t>
      </w:r>
      <w:r>
        <w:rPr>
          <w:rFonts w:hint="eastAsia" w:ascii="宋体" w:hAnsi="宋体" w:cs="Source Han Sans CN Regular"/>
          <w:b/>
          <w:bCs/>
          <w:sz w:val="24"/>
          <w:szCs w:val="24"/>
        </w:rPr>
        <w:t>：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中国石油（2期）、中海油（5期）、中国石化、重庆国际复合材料、中国检验认证（集团）（2期）、北京环境卫生工程集团、江苏精研科技、青海立方信息、深圳鼎晶科技、深圳奥雅设计、北京金隅集团、广东汕头鲁能新能源、淮北欣旺能源、惠州天鑫石化、南京诚志清洁能源（3期）、山东东明石化、深圳市腾龙源实业、云南铜业股份、合肥高新区声谷人工智能产业促进中心、上海人才金港企业集团、绍兴远东石化</w:t>
      </w:r>
      <w:r>
        <w:rPr>
          <w:rFonts w:hint="eastAsia" w:ascii="宋体" w:hAnsi="宋体" w:cs="Source Han Sans CN Regular"/>
          <w:sz w:val="24"/>
          <w:szCs w:val="24"/>
        </w:rPr>
        <w:t>……</w:t>
      </w:r>
    </w:p>
    <w:p w14:paraId="51005761">
      <w:pPr>
        <w:spacing w:line="460" w:lineRule="exact"/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</w:pPr>
      <w:r>
        <w:rPr>
          <w:rFonts w:hint="eastAsia" w:ascii="宋体" w:hAnsi="宋体" w:cs="Source Han Sans CN Regular"/>
          <w:b/>
          <w:bCs/>
          <w:sz w:val="24"/>
          <w:szCs w:val="24"/>
          <w:lang w:eastAsia="zh-Hans"/>
        </w:rPr>
        <w:t>零售/酒类/饮料/食品/会展/其他</w:t>
      </w:r>
      <w:r>
        <w:rPr>
          <w:rFonts w:hint="eastAsia" w:ascii="宋体" w:hAnsi="宋体" w:cs="Source Han Sans CN Regular"/>
          <w:b/>
          <w:bCs/>
          <w:sz w:val="24"/>
          <w:szCs w:val="24"/>
        </w:rPr>
        <w:t>：</w:t>
      </w:r>
      <w:r>
        <w:rPr>
          <w:rFonts w:hint="eastAsia" w:ascii="宋体" w:hAnsi="宋体" w:cs="Source Han Sans CN Regular"/>
          <w:sz w:val="24"/>
          <w:szCs w:val="24"/>
          <w:lang w:eastAsia="zh-Hans"/>
        </w:rPr>
        <w:t>湖南红星国际展览有限公司、泉州文化旅游发展集团有限公司、深圳华侨城物业商业发展有限公司、光明集团（2期）、上海市糖业烟酒、新疆天康饲料、山东银座家居深圳微步信息、</w:t>
      </w:r>
      <w:r>
        <w:rPr>
          <w:rFonts w:hint="eastAsia" w:ascii="宋体" w:hAnsi="宋体" w:cs="Source Han Sans CN Regular"/>
          <w:sz w:val="24"/>
          <w:szCs w:val="24"/>
        </w:rPr>
        <w:t>唯品会、顺丰集团、深圳安吉尔集团、广州宜容服饰、影儿时尚集团（品牌：音儿、诗篇、歌中歌等6大高端品牌）、深圳兰希黎科技、合景泰集团、维怡美生物科技、58同城、深圳市南山智慧园区运营服务、辽宁顺路物流有限公司、宁夏回族自治区宁东基地管委会政务服务中心、中粮粮油工业（重庆）有限公司、太原市市委、烟台业达国际人才集团、广州宜容服饰、贵州白云城市建设投资集团……</w:t>
      </w:r>
    </w:p>
    <w:p w14:paraId="077970E4">
      <w:pPr>
        <w:spacing w:line="46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高校：</w:t>
      </w:r>
      <w:r>
        <w:rPr>
          <w:rFonts w:hint="eastAsia" w:ascii="宋体" w:hAnsi="宋体" w:cs="Source Han Sans CN Regular"/>
          <w:sz w:val="24"/>
          <w:szCs w:val="24"/>
        </w:rPr>
        <w:t>北京大学、清华大学、武汉大学、华中科技大学、华南理工大学、南京大学、西北工业大学、兰州大学、湖南大学、四川大学、云南大学、厦门大学、华南理工大学、中山大学、济南大学、天津大学</w:t>
      </w:r>
      <w:r>
        <w:rPr>
          <w:rFonts w:hint="eastAsia" w:ascii="宋体" w:hAnsi="宋体" w:cs="Source Han Sans CN Regular"/>
          <w:b/>
          <w:bCs/>
          <w:sz w:val="24"/>
          <w:szCs w:val="24"/>
        </w:rPr>
        <w:t>、</w:t>
      </w:r>
      <w:r>
        <w:rPr>
          <w:rFonts w:hint="eastAsia" w:ascii="宋体" w:hAnsi="宋体" w:cs="Source Han Sans CN Regular"/>
          <w:sz w:val="24"/>
          <w:szCs w:val="24"/>
        </w:rPr>
        <w:t>华中商学院、深职训职业学校、森鑫源学校、北京师范大学珠海分校、哈尔滨理工大学、哈尔滨工程大学、哈尔滨工业大学、桂林电子科技大学、武汉工程大学、中国地质大学（武汉）、湖北工业大学、南华大学、西安科技大学、长安大学、成都理工大学、沈阳工业大学、沈阳化工大学、青岛理工大学、青岛科技大学等</w:t>
      </w:r>
      <w:r>
        <w:rPr>
          <w:rFonts w:hint="eastAsia" w:ascii="宋体" w:hAnsi="宋体" w:cs="Source Han Sans CN Regular"/>
          <w:b/>
          <w:bCs/>
          <w:sz w:val="24"/>
          <w:szCs w:val="24"/>
        </w:rPr>
        <w:t>近200所高校</w:t>
      </w:r>
      <w:r>
        <w:rPr>
          <w:rFonts w:hint="eastAsia" w:ascii="宋体" w:hAnsi="宋体" w:cs="Source Han Sans CN Regular"/>
          <w:sz w:val="24"/>
          <w:szCs w:val="24"/>
        </w:rPr>
        <w:t>……</w:t>
      </w:r>
    </w:p>
    <w:p w14:paraId="082FE016">
      <w:pPr>
        <w:spacing w:line="460" w:lineRule="exact"/>
        <w:rPr>
          <w:rFonts w:ascii="宋体" w:hAnsi="宋体" w:cs="宋体"/>
          <w:sz w:val="24"/>
          <w:szCs w:val="24"/>
        </w:rPr>
      </w:pPr>
    </w:p>
    <w:p w14:paraId="4736F6CF">
      <w:pPr>
        <w:spacing w:line="460" w:lineRule="exact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b/>
          <w:bCs/>
          <w:color w:val="000000"/>
          <w:sz w:val="24"/>
          <w:szCs w:val="28"/>
        </w:rPr>
        <w:t>部分授课照片：</w:t>
      </w:r>
    </w:p>
    <w:tbl>
      <w:tblPr>
        <w:tblStyle w:val="7"/>
        <w:tblW w:w="9889" w:type="dxa"/>
        <w:tblInd w:w="0" w:type="dxa"/>
        <w:tbl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999999" w:sz="4" w:space="0"/>
          <w:insideV w:val="single" w:color="99999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4819"/>
      </w:tblGrid>
      <w:tr w14:paraId="78E2A064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vAlign w:val="center"/>
          </w:tcPr>
          <w:p w14:paraId="22A73878">
            <w:pPr>
              <w:jc w:val="center"/>
              <w:rPr>
                <w:rFonts w:hint="eastAsia" w:ascii="宋体" w:hAnsi="宋体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1" name="图片 1" descr="a5d1548bb9afcb06bd8dd9569c3773f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5d1548bb9afcb06bd8dd9569c3773f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042E2233">
            <w:pPr>
              <w:jc w:val="center"/>
              <w:rPr>
                <w:rFonts w:hint="eastAsia" w:ascii="宋体" w:hAnsi="宋体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15" name="图片 15" descr="1146449b524c04754d51173bdd5245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1146449b524c04754d51173bdd52457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46BEB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vAlign w:val="center"/>
          </w:tcPr>
          <w:p w14:paraId="2930206E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印尼</w:t>
            </w:r>
          </w:p>
          <w:p w14:paraId="3658D86E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《五维人才官》</w:t>
            </w:r>
          </w:p>
        </w:tc>
        <w:tc>
          <w:tcPr>
            <w:tcW w:w="4819" w:type="dxa"/>
            <w:vAlign w:val="center"/>
          </w:tcPr>
          <w:p w14:paraId="0C908111">
            <w:pPr>
              <w:spacing w:line="36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中信银行</w:t>
            </w:r>
          </w:p>
          <w:p w14:paraId="0973BDD8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《面试官认证》</w:t>
            </w:r>
          </w:p>
        </w:tc>
      </w:tr>
      <w:tr w14:paraId="43F99C77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vAlign w:val="center"/>
          </w:tcPr>
          <w:p w14:paraId="0D0E611F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szCs w:val="21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1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7BB0AD69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5" name="图片 5" descr="54c0bf1db7d0b5e27fa2cad6b6e13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54c0bf1db7d0b5e27fa2cad6b6e1320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1697D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vAlign w:val="center"/>
          </w:tcPr>
          <w:p w14:paraId="59F45CDE">
            <w:pPr>
              <w:pStyle w:val="2"/>
              <w:widowControl/>
              <w:shd w:val="clear" w:color="auto" w:fill="FFFFFF"/>
              <w:spacing w:beforeAutospacing="0" w:afterAutospacing="0" w:line="360" w:lineRule="exact"/>
              <w:jc w:val="center"/>
              <w:rPr>
                <w:b w:val="0"/>
                <w:kern w:val="2"/>
                <w:sz w:val="21"/>
                <w:szCs w:val="21"/>
              </w:rPr>
            </w:pPr>
            <w:r>
              <w:rPr>
                <w:rFonts w:hint="default" w:cs="宋体"/>
                <w:b w:val="0"/>
                <w:kern w:val="2"/>
                <w:sz w:val="21"/>
                <w:szCs w:val="21"/>
              </w:rPr>
              <w:t>顺德农商行</w:t>
            </w:r>
          </w:p>
          <w:p w14:paraId="0E9B901C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>《规避企业劳动用工风险实战》</w:t>
            </w:r>
          </w:p>
        </w:tc>
        <w:tc>
          <w:tcPr>
            <w:tcW w:w="4819" w:type="dxa"/>
            <w:vAlign w:val="center"/>
          </w:tcPr>
          <w:p w14:paraId="00F44563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中山国资委公开课</w:t>
            </w:r>
            <w:r>
              <w:rPr>
                <w:rFonts w:hint="eastAsia" w:ascii="宋体" w:hAnsi="宋体" w:cs="宋体"/>
                <w:bCs/>
                <w:szCs w:val="21"/>
              </w:rPr>
              <w:br w:type="textWrapping"/>
            </w:r>
            <w:r>
              <w:rPr>
                <w:rFonts w:hint="eastAsia" w:ascii="宋体" w:hAnsi="宋体" w:cs="宋体"/>
                <w:bCs/>
                <w:szCs w:val="21"/>
              </w:rPr>
              <w:t>《国有企业干部人事档案管理技能实战》</w:t>
            </w:r>
          </w:p>
        </w:tc>
      </w:tr>
      <w:tr w14:paraId="32B25CED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vAlign w:val="center"/>
          </w:tcPr>
          <w:p w14:paraId="1BCB1741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szCs w:val="21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5947CDE3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54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193" r="1701" b="3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8DAA3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vAlign w:val="center"/>
          </w:tcPr>
          <w:p w14:paraId="7FA3B34E">
            <w:pPr>
              <w:pStyle w:val="2"/>
              <w:widowControl/>
              <w:shd w:val="clear" w:color="auto" w:fill="FFFFFF"/>
              <w:spacing w:beforeAutospacing="0" w:afterAutospacing="0" w:line="360" w:lineRule="exact"/>
              <w:jc w:val="center"/>
              <w:rPr>
                <w:b w:val="0"/>
                <w:kern w:val="2"/>
                <w:sz w:val="21"/>
                <w:szCs w:val="21"/>
              </w:rPr>
            </w:pPr>
            <w:r>
              <w:rPr>
                <w:rFonts w:hint="default" w:cs="宋体"/>
                <w:b w:val="0"/>
                <w:kern w:val="2"/>
                <w:sz w:val="21"/>
                <w:szCs w:val="21"/>
              </w:rPr>
              <w:t>艾津农作物科技</w:t>
            </w:r>
          </w:p>
          <w:p w14:paraId="4622B4EA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>《金牌面试官》</w:t>
            </w:r>
          </w:p>
        </w:tc>
        <w:tc>
          <w:tcPr>
            <w:tcW w:w="4819" w:type="dxa"/>
            <w:vAlign w:val="center"/>
          </w:tcPr>
          <w:p w14:paraId="3C835F55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中国检测集团广东</w:t>
            </w:r>
          </w:p>
          <w:p w14:paraId="16ED100E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《劳动用工风险管控》</w:t>
            </w:r>
          </w:p>
        </w:tc>
      </w:tr>
      <w:tr w14:paraId="3932CF5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vAlign w:val="center"/>
          </w:tcPr>
          <w:p w14:paraId="18C73A73">
            <w:pPr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17" name="图片 17" descr="8a89460c612bfa8c3eb10813ae8029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8a89460c612bfa8c3eb10813ae80296b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2E1A120A">
            <w:pPr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18" name="图片 18" descr="38d4cc54b86d7640b7c6c26058bcb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38d4cc54b86d7640b7c6c26058bcb36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036539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vAlign w:val="center"/>
          </w:tcPr>
          <w:p w14:paraId="618713F1">
            <w:pPr>
              <w:pStyle w:val="2"/>
              <w:widowControl/>
              <w:shd w:val="clear" w:color="auto" w:fill="FFFFFF"/>
              <w:spacing w:beforeAutospacing="0" w:afterAutospacing="0" w:line="360" w:lineRule="exact"/>
              <w:jc w:val="center"/>
              <w:rPr>
                <w:rFonts w:hint="default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台山电厂</w:t>
            </w:r>
          </w:p>
          <w:p w14:paraId="6D482D6A">
            <w:pPr>
              <w:pStyle w:val="2"/>
              <w:widowControl/>
              <w:shd w:val="clear" w:color="auto" w:fill="FFFFFF"/>
              <w:spacing w:beforeAutospacing="0" w:afterAutospacing="0" w:line="360" w:lineRule="exact"/>
              <w:jc w:val="center"/>
              <w:rPr>
                <w:sz w:val="21"/>
                <w:szCs w:val="21"/>
              </w:rPr>
            </w:pPr>
            <w:r>
              <w:rPr>
                <w:rFonts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《“十五五”人力资源规划与编制》</w:t>
            </w:r>
          </w:p>
        </w:tc>
        <w:tc>
          <w:tcPr>
            <w:tcW w:w="4819" w:type="dxa"/>
            <w:vAlign w:val="center"/>
          </w:tcPr>
          <w:p w14:paraId="0503374B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中交三航局第六工程</w:t>
            </w:r>
          </w:p>
          <w:p w14:paraId="676CEE6B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《赋能领导力：管理者如何成为员工的压力疏导师与心灵教练》</w:t>
            </w:r>
          </w:p>
        </w:tc>
      </w:tr>
      <w:tr w14:paraId="7D56790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vAlign w:val="center"/>
          </w:tcPr>
          <w:p w14:paraId="724F1A30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21" name="图片 21" descr="94a1bcbeafe7ee0d58ee7eb2ce708e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94a1bcbeafe7ee0d58ee7eb2ce708ee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5FACA583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22" name="图片 22" descr="d179cba59847d9f916d6b692491240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d179cba59847d9f916d6b692491240ab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57ABA0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vAlign w:val="center"/>
          </w:tcPr>
          <w:p w14:paraId="796D73E7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平安财险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《新生代员工招聘面试技巧》</w:t>
            </w:r>
          </w:p>
        </w:tc>
        <w:tc>
          <w:tcPr>
            <w:tcW w:w="4819" w:type="dxa"/>
            <w:vAlign w:val="center"/>
          </w:tcPr>
          <w:p w14:paraId="77046305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贵州磷化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ascii="Helvetica" w:hAnsi="Helvetica" w:eastAsia="Helvetica" w:cs="Helvetica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与时俱进</w:t>
            </w:r>
            <w:r>
              <w:rPr>
                <w:rFonts w:hint="eastAsia" w:ascii="Helvetica" w:hAnsi="Helvetica" w:cs="Helvetica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——</w:t>
            </w:r>
            <w:r>
              <w:rPr>
                <w:rFonts w:ascii="Helvetica" w:hAnsi="Helvetica" w:eastAsia="Helvetica" w:cs="Helvetica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人力资源管理实战技能提升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》</w:t>
            </w:r>
          </w:p>
        </w:tc>
      </w:tr>
      <w:tr w14:paraId="6FF2CE7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vAlign w:val="center"/>
          </w:tcPr>
          <w:p w14:paraId="6DC696EF">
            <w:pPr>
              <w:jc w:val="center"/>
              <w:rPr>
                <w:rFonts w:hint="eastAsia" w:ascii="宋体" w:hAnsi="宋体"/>
                <w:szCs w:val="21"/>
                <w:highlight w:val="yellow"/>
              </w:rPr>
            </w:pPr>
            <w:r>
              <w:rPr>
                <w:szCs w:val="21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2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76993E2A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28" name="图片 28" descr="d09abdca52095e55575046c829128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d09abdca52095e55575046c829128fb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2E448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vAlign w:val="center"/>
          </w:tcPr>
          <w:p w14:paraId="4267F510">
            <w:pPr>
              <w:pStyle w:val="5"/>
              <w:widowControl/>
              <w:shd w:val="clear" w:color="auto" w:fill="FFFFFF"/>
              <w:spacing w:line="360" w:lineRule="exact"/>
              <w:jc w:val="center"/>
              <w:rPr>
                <w:rFonts w:hint="default" w:cs="宋体"/>
                <w:color w:val="000000" w:themeColor="text1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/>
                <w:color w:val="000000" w:themeColor="text1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福建博思软件</w:t>
            </w:r>
          </w:p>
          <w:p w14:paraId="50E772C9">
            <w:pPr>
              <w:pStyle w:val="5"/>
              <w:widowControl/>
              <w:shd w:val="clear" w:color="auto" w:fill="FFFFFF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rFonts w:cs="宋体"/>
                <w:color w:val="000000" w:themeColor="text1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《赢在绩效——HRBP管理者必备的领导力》</w:t>
            </w:r>
          </w:p>
        </w:tc>
        <w:tc>
          <w:tcPr>
            <w:tcW w:w="4819" w:type="dxa"/>
            <w:vAlign w:val="center"/>
          </w:tcPr>
          <w:p w14:paraId="7E6B429C">
            <w:pPr>
              <w:spacing w:line="36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鄂尔多斯公开课</w:t>
            </w:r>
          </w:p>
          <w:p w14:paraId="5A2B74D7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《基于战略的绩效管理与绩效指标设计落地》</w:t>
            </w:r>
          </w:p>
        </w:tc>
      </w:tr>
      <w:tr w14:paraId="52D070D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vAlign w:val="center"/>
          </w:tcPr>
          <w:p w14:paraId="1A08DD5F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2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61213A8F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30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B34B00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vAlign w:val="center"/>
          </w:tcPr>
          <w:p w14:paraId="040A1EEA">
            <w:pPr>
              <w:pStyle w:val="2"/>
              <w:widowControl/>
              <w:shd w:val="clear" w:color="auto" w:fill="FFFFFF"/>
              <w:spacing w:beforeAutospacing="0" w:afterAutospacing="0" w:line="360" w:lineRule="exact"/>
              <w:jc w:val="center"/>
              <w:rPr>
                <w:rFonts w:hint="default" w:cs="宋体"/>
                <w:b w:val="0"/>
                <w:kern w:val="2"/>
                <w:sz w:val="21"/>
                <w:szCs w:val="21"/>
              </w:rPr>
            </w:pPr>
            <w:r>
              <w:rPr>
                <w:rFonts w:cs="宋体"/>
                <w:b w:val="0"/>
                <w:kern w:val="2"/>
                <w:sz w:val="21"/>
                <w:szCs w:val="21"/>
              </w:rPr>
              <w:t>陕西煤炭</w:t>
            </w:r>
          </w:p>
          <w:p w14:paraId="2186C439">
            <w:pPr>
              <w:pStyle w:val="2"/>
              <w:widowControl/>
              <w:shd w:val="clear" w:color="auto" w:fill="FFFFFF"/>
              <w:spacing w:beforeAutospacing="0" w:afterAutospacing="0" w:line="360" w:lineRule="exact"/>
              <w:jc w:val="center"/>
              <w:rPr>
                <w:sz w:val="21"/>
                <w:szCs w:val="21"/>
              </w:rPr>
            </w:pPr>
            <w:r>
              <w:rPr>
                <w:rFonts w:cs="宋体"/>
                <w:b w:val="0"/>
                <w:kern w:val="2"/>
                <w:sz w:val="21"/>
                <w:szCs w:val="21"/>
              </w:rPr>
              <w:t>《人力资源绩效管理》</w:t>
            </w:r>
          </w:p>
        </w:tc>
        <w:tc>
          <w:tcPr>
            <w:tcW w:w="4819" w:type="dxa"/>
            <w:vAlign w:val="center"/>
          </w:tcPr>
          <w:p w14:paraId="0E35DFF0">
            <w:pPr>
              <w:spacing w:line="36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广州公开课</w:t>
            </w:r>
          </w:p>
          <w:p w14:paraId="4A2294CD">
            <w:pPr>
              <w:spacing w:line="36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《极简绩效》</w:t>
            </w:r>
          </w:p>
        </w:tc>
      </w:tr>
      <w:tr w14:paraId="3E091C8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vAlign w:val="center"/>
          </w:tcPr>
          <w:p w14:paraId="18510044">
            <w:pPr>
              <w:pStyle w:val="2"/>
              <w:widowControl/>
              <w:shd w:val="clear" w:color="auto" w:fill="FFFFFF"/>
              <w:spacing w:beforeAutospacing="0" w:afterAutospacing="0"/>
              <w:jc w:val="center"/>
              <w:rPr>
                <w:b w:val="0"/>
                <w:kern w:val="2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8" t="5023" r="53028" b="5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7683EC31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36195</wp:posOffset>
                  </wp:positionV>
                  <wp:extent cx="2760980" cy="2019300"/>
                  <wp:effectExtent l="0" t="0" r="1270" b="0"/>
                  <wp:wrapNone/>
                  <wp:docPr id="33" name="图片 33" descr="4893529ad5e520f57e7fcc59baa7a06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4893529ad5e520f57e7fcc59baa7a06e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C5642C7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vAlign w:val="center"/>
          </w:tcPr>
          <w:p w14:paraId="7E98ED5D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粤海水务集团</w:t>
            </w:r>
          </w:p>
          <w:p w14:paraId="4BD70611">
            <w:pPr>
              <w:pStyle w:val="2"/>
              <w:widowControl/>
              <w:shd w:val="clear" w:color="auto" w:fill="FFFFFF"/>
              <w:spacing w:beforeAutospacing="0" w:afterAutospacing="0" w:line="360" w:lineRule="exact"/>
              <w:jc w:val="center"/>
              <w:rPr>
                <w:b w:val="0"/>
                <w:kern w:val="2"/>
                <w:sz w:val="21"/>
                <w:szCs w:val="21"/>
              </w:rPr>
            </w:pPr>
            <w:r>
              <w:rPr>
                <w:rFonts w:cs="宋体"/>
                <w:b w:val="0"/>
                <w:sz w:val="21"/>
                <w:szCs w:val="21"/>
              </w:rPr>
              <w:t>《五维人才官——非人力资源经理的人力资源管理》</w:t>
            </w:r>
          </w:p>
        </w:tc>
        <w:tc>
          <w:tcPr>
            <w:tcW w:w="4819" w:type="dxa"/>
            <w:vAlign w:val="center"/>
          </w:tcPr>
          <w:p w14:paraId="131088A1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海高集团</w:t>
            </w:r>
            <w:r>
              <w:rPr>
                <w:rFonts w:hint="eastAsia" w:ascii="宋体" w:hAnsi="宋体" w:cs="宋体"/>
                <w:bCs/>
                <w:szCs w:val="21"/>
              </w:rPr>
              <w:br w:type="textWrapping"/>
            </w:r>
            <w:r>
              <w:rPr>
                <w:rFonts w:hint="eastAsia" w:ascii="宋体" w:hAnsi="宋体" w:cs="宋体"/>
                <w:bCs/>
                <w:szCs w:val="21"/>
              </w:rPr>
              <w:t>《五维人才官——非人力资源经理的人力资源管理》</w:t>
            </w:r>
          </w:p>
        </w:tc>
      </w:tr>
    </w:tbl>
    <w:p w14:paraId="144CD8A3">
      <w:pPr>
        <w:spacing w:line="460" w:lineRule="exact"/>
        <w:rPr>
          <w:rFonts w:hint="eastAsia" w:ascii="宋体" w:hAnsi="宋体" w:cs="宋体"/>
          <w:b/>
          <w:bCs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 Han Sans CN Regular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55E"/>
    <w:rsid w:val="0004278B"/>
    <w:rsid w:val="00054451"/>
    <w:rsid w:val="00083928"/>
    <w:rsid w:val="00097CB0"/>
    <w:rsid w:val="000A372A"/>
    <w:rsid w:val="000A6D06"/>
    <w:rsid w:val="000E71B5"/>
    <w:rsid w:val="00122C34"/>
    <w:rsid w:val="00172B8C"/>
    <w:rsid w:val="001A0F41"/>
    <w:rsid w:val="001C4C1A"/>
    <w:rsid w:val="001E6EC1"/>
    <w:rsid w:val="00206DF3"/>
    <w:rsid w:val="002070AE"/>
    <w:rsid w:val="00214159"/>
    <w:rsid w:val="002341E0"/>
    <w:rsid w:val="0024478D"/>
    <w:rsid w:val="00254CFA"/>
    <w:rsid w:val="0029772D"/>
    <w:rsid w:val="002C3540"/>
    <w:rsid w:val="002F6C60"/>
    <w:rsid w:val="00303271"/>
    <w:rsid w:val="00306B7C"/>
    <w:rsid w:val="003306BB"/>
    <w:rsid w:val="00373C60"/>
    <w:rsid w:val="003B19F4"/>
    <w:rsid w:val="003B59FC"/>
    <w:rsid w:val="003D0CF8"/>
    <w:rsid w:val="003F591C"/>
    <w:rsid w:val="00433992"/>
    <w:rsid w:val="00443CA0"/>
    <w:rsid w:val="00485DF8"/>
    <w:rsid w:val="004B501E"/>
    <w:rsid w:val="004E09D8"/>
    <w:rsid w:val="004F5078"/>
    <w:rsid w:val="00507EF3"/>
    <w:rsid w:val="00515497"/>
    <w:rsid w:val="0052298A"/>
    <w:rsid w:val="00531093"/>
    <w:rsid w:val="005541BF"/>
    <w:rsid w:val="0055491B"/>
    <w:rsid w:val="0056276F"/>
    <w:rsid w:val="00583A4F"/>
    <w:rsid w:val="0059275C"/>
    <w:rsid w:val="005C324F"/>
    <w:rsid w:val="005C460E"/>
    <w:rsid w:val="005E4E4E"/>
    <w:rsid w:val="006517DF"/>
    <w:rsid w:val="006572EB"/>
    <w:rsid w:val="00660691"/>
    <w:rsid w:val="006622B0"/>
    <w:rsid w:val="00665E1A"/>
    <w:rsid w:val="00681B2F"/>
    <w:rsid w:val="006933E2"/>
    <w:rsid w:val="006C3094"/>
    <w:rsid w:val="00702DED"/>
    <w:rsid w:val="007461CE"/>
    <w:rsid w:val="007611CB"/>
    <w:rsid w:val="0076150B"/>
    <w:rsid w:val="007615A5"/>
    <w:rsid w:val="00776F36"/>
    <w:rsid w:val="0077732D"/>
    <w:rsid w:val="0079374A"/>
    <w:rsid w:val="007C237C"/>
    <w:rsid w:val="00801C35"/>
    <w:rsid w:val="00850757"/>
    <w:rsid w:val="00855648"/>
    <w:rsid w:val="00862DF2"/>
    <w:rsid w:val="008A55EA"/>
    <w:rsid w:val="008B1CA9"/>
    <w:rsid w:val="008B212A"/>
    <w:rsid w:val="008D1157"/>
    <w:rsid w:val="008D6D8D"/>
    <w:rsid w:val="008E70C8"/>
    <w:rsid w:val="009022B6"/>
    <w:rsid w:val="00905036"/>
    <w:rsid w:val="00917A48"/>
    <w:rsid w:val="00933E48"/>
    <w:rsid w:val="009821CB"/>
    <w:rsid w:val="009B2114"/>
    <w:rsid w:val="009C1239"/>
    <w:rsid w:val="009C3A0C"/>
    <w:rsid w:val="009D4F9B"/>
    <w:rsid w:val="009D7485"/>
    <w:rsid w:val="009E4B42"/>
    <w:rsid w:val="00A20D3B"/>
    <w:rsid w:val="00A5665B"/>
    <w:rsid w:val="00A80713"/>
    <w:rsid w:val="00AD0A3D"/>
    <w:rsid w:val="00AE1CC9"/>
    <w:rsid w:val="00B066E8"/>
    <w:rsid w:val="00B47271"/>
    <w:rsid w:val="00B57A5B"/>
    <w:rsid w:val="00BA2E92"/>
    <w:rsid w:val="00BC0351"/>
    <w:rsid w:val="00BC5295"/>
    <w:rsid w:val="00BD1696"/>
    <w:rsid w:val="00C07CB5"/>
    <w:rsid w:val="00C1361E"/>
    <w:rsid w:val="00C25A20"/>
    <w:rsid w:val="00C73F11"/>
    <w:rsid w:val="00C77869"/>
    <w:rsid w:val="00C81C61"/>
    <w:rsid w:val="00C9404B"/>
    <w:rsid w:val="00CB1E04"/>
    <w:rsid w:val="00CB626E"/>
    <w:rsid w:val="00CD2EE1"/>
    <w:rsid w:val="00CF1FFD"/>
    <w:rsid w:val="00CF7A21"/>
    <w:rsid w:val="00D24371"/>
    <w:rsid w:val="00D53716"/>
    <w:rsid w:val="00D619FB"/>
    <w:rsid w:val="00DB1FB8"/>
    <w:rsid w:val="00DC12FB"/>
    <w:rsid w:val="00DC6009"/>
    <w:rsid w:val="00DD2922"/>
    <w:rsid w:val="00DF1694"/>
    <w:rsid w:val="00E861EA"/>
    <w:rsid w:val="00EA3A84"/>
    <w:rsid w:val="00EB79C4"/>
    <w:rsid w:val="00ED655E"/>
    <w:rsid w:val="00EE6C71"/>
    <w:rsid w:val="00F07D5E"/>
    <w:rsid w:val="00F646F5"/>
    <w:rsid w:val="00F80CD8"/>
    <w:rsid w:val="00FA58E5"/>
    <w:rsid w:val="00FC45C4"/>
    <w:rsid w:val="00FD3E03"/>
    <w:rsid w:val="00FF6C64"/>
    <w:rsid w:val="01AB7368"/>
    <w:rsid w:val="01DA6EAC"/>
    <w:rsid w:val="0223084F"/>
    <w:rsid w:val="029066B3"/>
    <w:rsid w:val="036F4264"/>
    <w:rsid w:val="03735ADF"/>
    <w:rsid w:val="042265C0"/>
    <w:rsid w:val="0448271A"/>
    <w:rsid w:val="04D17BC4"/>
    <w:rsid w:val="056B4511"/>
    <w:rsid w:val="06134A86"/>
    <w:rsid w:val="0636670B"/>
    <w:rsid w:val="066158EA"/>
    <w:rsid w:val="06752991"/>
    <w:rsid w:val="072B0006"/>
    <w:rsid w:val="08C21CC5"/>
    <w:rsid w:val="09407903"/>
    <w:rsid w:val="099069EB"/>
    <w:rsid w:val="0B3F592F"/>
    <w:rsid w:val="0CA5180B"/>
    <w:rsid w:val="0CC118AC"/>
    <w:rsid w:val="0D217C92"/>
    <w:rsid w:val="0D9348A3"/>
    <w:rsid w:val="0DA377A8"/>
    <w:rsid w:val="0E82608E"/>
    <w:rsid w:val="0F925A98"/>
    <w:rsid w:val="0FEF452F"/>
    <w:rsid w:val="101F18D4"/>
    <w:rsid w:val="102568BC"/>
    <w:rsid w:val="107C29A6"/>
    <w:rsid w:val="114C66F9"/>
    <w:rsid w:val="11FF0572"/>
    <w:rsid w:val="12BF02F3"/>
    <w:rsid w:val="13CA4094"/>
    <w:rsid w:val="13EC7D20"/>
    <w:rsid w:val="14067ED3"/>
    <w:rsid w:val="14CF4E3B"/>
    <w:rsid w:val="156F3466"/>
    <w:rsid w:val="15976861"/>
    <w:rsid w:val="16344411"/>
    <w:rsid w:val="164D6CC4"/>
    <w:rsid w:val="16BF67A3"/>
    <w:rsid w:val="16E42D42"/>
    <w:rsid w:val="17B543DA"/>
    <w:rsid w:val="186E41EA"/>
    <w:rsid w:val="18F27B86"/>
    <w:rsid w:val="19473D84"/>
    <w:rsid w:val="1A367F46"/>
    <w:rsid w:val="1B2C37A4"/>
    <w:rsid w:val="1C1F1A97"/>
    <w:rsid w:val="1C910111"/>
    <w:rsid w:val="1D2D219F"/>
    <w:rsid w:val="1DF242C6"/>
    <w:rsid w:val="1EDD6BE3"/>
    <w:rsid w:val="1F552C1D"/>
    <w:rsid w:val="2063580D"/>
    <w:rsid w:val="23826B0B"/>
    <w:rsid w:val="249613B1"/>
    <w:rsid w:val="24A4022E"/>
    <w:rsid w:val="24CC572F"/>
    <w:rsid w:val="255D4DC3"/>
    <w:rsid w:val="25951164"/>
    <w:rsid w:val="26530D19"/>
    <w:rsid w:val="2659583D"/>
    <w:rsid w:val="2667095B"/>
    <w:rsid w:val="26D95574"/>
    <w:rsid w:val="274C2B23"/>
    <w:rsid w:val="281F15E6"/>
    <w:rsid w:val="286B525F"/>
    <w:rsid w:val="2960650A"/>
    <w:rsid w:val="299E29A2"/>
    <w:rsid w:val="2A21348C"/>
    <w:rsid w:val="2AFE597E"/>
    <w:rsid w:val="2B41487E"/>
    <w:rsid w:val="2C1B258E"/>
    <w:rsid w:val="2D321995"/>
    <w:rsid w:val="2D856B84"/>
    <w:rsid w:val="2F106868"/>
    <w:rsid w:val="2F4E2B11"/>
    <w:rsid w:val="2FA25547"/>
    <w:rsid w:val="30322329"/>
    <w:rsid w:val="30460D50"/>
    <w:rsid w:val="30CF5145"/>
    <w:rsid w:val="319A0963"/>
    <w:rsid w:val="32676213"/>
    <w:rsid w:val="32B74029"/>
    <w:rsid w:val="32F94FD0"/>
    <w:rsid w:val="334446D9"/>
    <w:rsid w:val="344351E6"/>
    <w:rsid w:val="35D86F01"/>
    <w:rsid w:val="360103E4"/>
    <w:rsid w:val="36274BD6"/>
    <w:rsid w:val="36301896"/>
    <w:rsid w:val="3637564E"/>
    <w:rsid w:val="365E4888"/>
    <w:rsid w:val="36673859"/>
    <w:rsid w:val="36DE12C4"/>
    <w:rsid w:val="3764392E"/>
    <w:rsid w:val="37753D23"/>
    <w:rsid w:val="378D3FE8"/>
    <w:rsid w:val="38A148E7"/>
    <w:rsid w:val="38CF1582"/>
    <w:rsid w:val="38E02C04"/>
    <w:rsid w:val="3A10210A"/>
    <w:rsid w:val="3C4B03F1"/>
    <w:rsid w:val="3CBD6D2A"/>
    <w:rsid w:val="3D4A148F"/>
    <w:rsid w:val="3DCB6085"/>
    <w:rsid w:val="3E0E57C3"/>
    <w:rsid w:val="3E8B6203"/>
    <w:rsid w:val="3EE24286"/>
    <w:rsid w:val="3EFE4C27"/>
    <w:rsid w:val="41053B90"/>
    <w:rsid w:val="41436921"/>
    <w:rsid w:val="419142F1"/>
    <w:rsid w:val="421313D4"/>
    <w:rsid w:val="422B24A7"/>
    <w:rsid w:val="42CE66BF"/>
    <w:rsid w:val="42E87780"/>
    <w:rsid w:val="42F11FFE"/>
    <w:rsid w:val="430D45AF"/>
    <w:rsid w:val="432006C1"/>
    <w:rsid w:val="43EC780D"/>
    <w:rsid w:val="441D5B50"/>
    <w:rsid w:val="44D9380C"/>
    <w:rsid w:val="45E954DB"/>
    <w:rsid w:val="471F0432"/>
    <w:rsid w:val="473448B5"/>
    <w:rsid w:val="476475F1"/>
    <w:rsid w:val="49396E47"/>
    <w:rsid w:val="49B76DB2"/>
    <w:rsid w:val="4A652D0A"/>
    <w:rsid w:val="4A8105F7"/>
    <w:rsid w:val="4AB97C54"/>
    <w:rsid w:val="4B126F48"/>
    <w:rsid w:val="4B25548F"/>
    <w:rsid w:val="4C183C39"/>
    <w:rsid w:val="4DC56C17"/>
    <w:rsid w:val="4E115911"/>
    <w:rsid w:val="4EB86005"/>
    <w:rsid w:val="4F6373A4"/>
    <w:rsid w:val="4FE00564"/>
    <w:rsid w:val="4FFD3166"/>
    <w:rsid w:val="51C32B80"/>
    <w:rsid w:val="51FA64BC"/>
    <w:rsid w:val="528037BF"/>
    <w:rsid w:val="536D79FC"/>
    <w:rsid w:val="5397592B"/>
    <w:rsid w:val="53C168E9"/>
    <w:rsid w:val="54851216"/>
    <w:rsid w:val="555A0F01"/>
    <w:rsid w:val="559539A9"/>
    <w:rsid w:val="563F4342"/>
    <w:rsid w:val="564E3947"/>
    <w:rsid w:val="581D5CC6"/>
    <w:rsid w:val="59265196"/>
    <w:rsid w:val="5AFE13EF"/>
    <w:rsid w:val="5B430B8E"/>
    <w:rsid w:val="5BE65020"/>
    <w:rsid w:val="5C42304B"/>
    <w:rsid w:val="5CAB6453"/>
    <w:rsid w:val="5CD32183"/>
    <w:rsid w:val="5CD92D1F"/>
    <w:rsid w:val="5E2C7448"/>
    <w:rsid w:val="5ED5218B"/>
    <w:rsid w:val="5F711E03"/>
    <w:rsid w:val="5FAE605A"/>
    <w:rsid w:val="60A4594B"/>
    <w:rsid w:val="60AA5718"/>
    <w:rsid w:val="60B0683E"/>
    <w:rsid w:val="61310F99"/>
    <w:rsid w:val="613F543D"/>
    <w:rsid w:val="61B1115E"/>
    <w:rsid w:val="62B31249"/>
    <w:rsid w:val="62DA4EE0"/>
    <w:rsid w:val="632A3C47"/>
    <w:rsid w:val="63C973AE"/>
    <w:rsid w:val="63E77193"/>
    <w:rsid w:val="6423240C"/>
    <w:rsid w:val="642A77A1"/>
    <w:rsid w:val="64862B70"/>
    <w:rsid w:val="65524C63"/>
    <w:rsid w:val="65931D19"/>
    <w:rsid w:val="65BD63F3"/>
    <w:rsid w:val="66567278"/>
    <w:rsid w:val="67335D9F"/>
    <w:rsid w:val="6775390F"/>
    <w:rsid w:val="67AE0CA9"/>
    <w:rsid w:val="681375E9"/>
    <w:rsid w:val="68280EB4"/>
    <w:rsid w:val="68E048D2"/>
    <w:rsid w:val="68ED0EAB"/>
    <w:rsid w:val="69605330"/>
    <w:rsid w:val="6985191D"/>
    <w:rsid w:val="6A712565"/>
    <w:rsid w:val="6CDA0D42"/>
    <w:rsid w:val="6D8127C5"/>
    <w:rsid w:val="6E443B55"/>
    <w:rsid w:val="6F5515FC"/>
    <w:rsid w:val="70227EC6"/>
    <w:rsid w:val="706A7177"/>
    <w:rsid w:val="70B007EF"/>
    <w:rsid w:val="70CF4B55"/>
    <w:rsid w:val="71285905"/>
    <w:rsid w:val="712C7B6D"/>
    <w:rsid w:val="71970440"/>
    <w:rsid w:val="723E5C7D"/>
    <w:rsid w:val="724D701A"/>
    <w:rsid w:val="732760D8"/>
    <w:rsid w:val="74FA1ACD"/>
    <w:rsid w:val="75255253"/>
    <w:rsid w:val="75295065"/>
    <w:rsid w:val="75D73501"/>
    <w:rsid w:val="76714718"/>
    <w:rsid w:val="77292A56"/>
    <w:rsid w:val="77687B85"/>
    <w:rsid w:val="789B58CC"/>
    <w:rsid w:val="7A340448"/>
    <w:rsid w:val="7AC645CA"/>
    <w:rsid w:val="7BD55DED"/>
    <w:rsid w:val="7C2B43D7"/>
    <w:rsid w:val="7CCA2CA5"/>
    <w:rsid w:val="7CDD7DD0"/>
    <w:rsid w:val="7D32120A"/>
    <w:rsid w:val="7D544BA6"/>
    <w:rsid w:val="7DD552E9"/>
    <w:rsid w:val="7DE054E3"/>
    <w:rsid w:val="7DF37823"/>
    <w:rsid w:val="7F1120C4"/>
    <w:rsid w:val="7FBD22D1"/>
    <w:rsid w:val="7FCE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22"/>
    <w:rPr>
      <w:b/>
    </w:rPr>
  </w:style>
  <w:style w:type="character" w:customStyle="1" w:styleId="11">
    <w:name w:val="页脚 字符"/>
    <w:link w:val="3"/>
    <w:qFormat/>
    <w:uiPriority w:val="99"/>
    <w:rPr>
      <w:kern w:val="2"/>
      <w:sz w:val="18"/>
      <w:szCs w:val="18"/>
    </w:rPr>
  </w:style>
  <w:style w:type="character" w:customStyle="1" w:styleId="12">
    <w:name w:val="页眉 字符"/>
    <w:link w:val="4"/>
    <w:qFormat/>
    <w:uiPriority w:val="99"/>
    <w:rPr>
      <w:kern w:val="2"/>
      <w:sz w:val="18"/>
      <w:szCs w:val="18"/>
    </w:rPr>
  </w:style>
  <w:style w:type="table" w:customStyle="1" w:styleId="13">
    <w:name w:val="网格表 1 浅色 - 着色 31"/>
    <w:basedOn w:val="7"/>
    <w:qFormat/>
    <w:uiPriority w:val="46"/>
    <w:tblPr>
      <w:tblBorders>
        <w:top w:val="single" w:color="DBDBDB" w:sz="4" w:space="0"/>
        <w:left w:val="single" w:color="DBDBDB" w:sz="4" w:space="0"/>
        <w:bottom w:val="single" w:color="DBDBDB" w:sz="4" w:space="0"/>
        <w:right w:val="single" w:color="DBDBDB" w:sz="4" w:space="0"/>
        <w:insideH w:val="single" w:color="DBDBDB" w:sz="4" w:space="0"/>
        <w:insideV w:val="single" w:color="DBDBDB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C9C9C9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C9C9C9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4">
    <w:name w:val="网格型浅色1"/>
    <w:basedOn w:val="7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6345</Words>
  <Characters>6469</Characters>
  <Lines>47</Lines>
  <Paragraphs>13</Paragraphs>
  <TotalTime>4</TotalTime>
  <ScaleCrop>false</ScaleCrop>
  <LinksUpToDate>false</LinksUpToDate>
  <CharactersWithSpaces>6472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2022-03-09T10:44:00Z</dcterms:created>
  <dc:creator>SL</dc:creator>
  <cp:lastModifiedBy>su</cp:lastModifiedBy>
  <dcterms:modified xsi:type="dcterms:W3CDTF">2025-12-25T02:57:11Z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B4BFBF66004841708F76FA299DFC69A5</vt:lpwstr>
  </property>
  <property fmtid="{D5CDD505-2E9C-101B-9397-08002B2CF9AE}" pid="4" name="KSOTemplateDocerSaveRecord">
    <vt:lpwstr>eyJoZGlkIjoiOTYyZTAzNjk5NDI1ZDQ2MDE0NmJjNjAzOGEzODZkNDciLCJ1c2VySWQiOiIyNDE1ODc5NTkifQ==</vt:lpwstr>
  </property>
</Properties>
</file>