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C802" w14:textId="77777777" w:rsidR="00495005" w:rsidRPr="001C173E" w:rsidRDefault="00000000" w:rsidP="001C173E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</w:pPr>
      <w:r w:rsidRPr="001C173E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从出海到腾飞：出海企业人力资源管理</w:t>
      </w:r>
      <w:proofErr w:type="gramStart"/>
      <w:r w:rsidRPr="001C173E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的破局之</w:t>
      </w:r>
      <w:proofErr w:type="gramEnd"/>
      <w:r w:rsidRPr="001C173E"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道（2026）</w:t>
      </w:r>
    </w:p>
    <w:p w14:paraId="73819505" w14:textId="77777777" w:rsidR="00495005" w:rsidRDefault="00495005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</w:p>
    <w:p w14:paraId="4D3EC5AB" w14:textId="77777777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课程背景：</w:t>
      </w:r>
    </w:p>
    <w:p w14:paraId="7C321DD7" w14:textId="77777777" w:rsidR="00495005" w:rsidRDefault="00000000">
      <w:pPr>
        <w:spacing w:line="480" w:lineRule="exact"/>
        <w:ind w:firstLineChars="200" w:firstLine="480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中国企业出海已从“试水”变成“求生”，但海外市场不是遍地黄金，而是暗礁密布。很多企业在国内是“龙”，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一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出海就因管理跟不上而陷入泥潭。远端管控失效、劳资纠纷频发、高薪挖来的人留不住，这些“非业务因素”正成为扼杀出海项目的头号杀手。作为HR或外派管理者，面对完全陌生的法律环境和文化土壤，你是否正被以下焦虑缠绕：</w:t>
      </w:r>
    </w:p>
    <w:p w14:paraId="29AFB073" w14:textId="6B1BED3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总部“鞭长莫及”，海外分公司渐渐变成甚至架空总部的“独立王国”</w:t>
      </w:r>
    </w:p>
    <w:p w14:paraId="5411029E" w14:textId="0E422586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不懂当地严苛的劳工法与工会规则，被巨额罚单和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罢工搞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得焦头烂额</w:t>
      </w:r>
    </w:p>
    <w:p w14:paraId="2B9E553F" w14:textId="796F3CB9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拿着高薪却招不到一流本地人才，陷入“只会用自己人”的内卷怪圈</w:t>
      </w:r>
    </w:p>
    <w:p w14:paraId="7439104D" w14:textId="3C59A8FF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外派干将因家庭安置或文化冲突“水土不服”，最终导致业务停摆</w:t>
      </w:r>
    </w:p>
    <w:p w14:paraId="4C333F93" w14:textId="7DFCE088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5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全球薪酬个税一团乱麻，无法平衡外派与本地员工巨大的贫富差距</w:t>
      </w:r>
    </w:p>
    <w:p w14:paraId="651ACFEE" w14:textId="359D1D1D" w:rsidR="00495005" w:rsidRDefault="00000000">
      <w:pPr>
        <w:spacing w:line="480" w:lineRule="exact"/>
        <w:ind w:firstLineChars="200" w:firstLine="480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本课程拒绝空谈跨文化理论，直接引入实战验证的“G-FORCE全球化人才重力系统”。我们通过“防卫Guard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-融合Fusion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-增长Growth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”三大维度，提供一套从合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风控、团队搭建到薪酬激励的落地工具包。这不仅是一门管理课，更是一份帮助中国企业在海外“活下去、扎下根”的生存实战指南。</w:t>
      </w:r>
    </w:p>
    <w:p w14:paraId="50A7BC05" w14:textId="77777777" w:rsidR="00495005" w:rsidRDefault="00495005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</w:p>
    <w:p w14:paraId="4DE4EE7F" w14:textId="7215A0F4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课程收益</w:t>
      </w:r>
      <w:r w:rsidR="001C173E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</w:p>
    <w:p w14:paraId="629E6071" w14:textId="7777777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1. 掌握用工合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红线，彻底规避海外巨额赔偿与法律黑洞。</w:t>
      </w:r>
    </w:p>
    <w:p w14:paraId="70E6B4E0" w14:textId="7777777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2. 构建“适度失控”的授权体系，破解总部与海外的信任死结。</w:t>
      </w:r>
    </w:p>
    <w:p w14:paraId="5DB5EFCE" w14:textId="7777777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3. 运用G-FORCE选拔“特种兵”，根治外派人员水土不服与流失。</w:t>
      </w:r>
    </w:p>
    <w:p w14:paraId="27BDAA8C" w14:textId="7777777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4. 设计全球宽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带薪酬与税务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筹划，平抑外派与本地员工利益冲突。</w:t>
      </w:r>
    </w:p>
    <w:p w14:paraId="3244883D" w14:textId="77777777" w:rsidR="00495005" w:rsidRDefault="00495005">
      <w:pPr>
        <w:snapToGrid w:val="0"/>
        <w:spacing w:line="480" w:lineRule="exact"/>
        <w:rPr>
          <w:rFonts w:ascii="宋体" w:eastAsia="宋体" w:hAnsi="宋体" w:cs="宋体"/>
          <w:b/>
          <w:bCs/>
          <w:color w:val="auto"/>
          <w:sz w:val="24"/>
          <w:szCs w:val="24"/>
        </w:rPr>
      </w:pPr>
    </w:p>
    <w:p w14:paraId="6AF1EE10" w14:textId="5E46D5A5" w:rsidR="001C173E" w:rsidRPr="001C173E" w:rsidRDefault="001C173E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课程框架：</w:t>
      </w:r>
    </w:p>
    <w:p w14:paraId="0A2B5BAA" w14:textId="6B5AE89F" w:rsidR="00495005" w:rsidRDefault="00000000">
      <w:pPr>
        <w:snapToGrid w:val="0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noProof/>
          <w:color w:val="auto"/>
          <w:sz w:val="24"/>
          <w:szCs w:val="24"/>
        </w:rPr>
        <w:lastRenderedPageBreak/>
        <w:drawing>
          <wp:inline distT="0" distB="0" distL="114300" distR="114300" wp14:anchorId="5612D411" wp14:editId="2B5E854A">
            <wp:extent cx="4286885" cy="2564765"/>
            <wp:effectExtent l="0" t="0" r="571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8688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 xml:space="preserve"> </w:t>
      </w:r>
    </w:p>
    <w:p w14:paraId="3C683185" w14:textId="77777777" w:rsidR="00495005" w:rsidRDefault="00495005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</w:p>
    <w:p w14:paraId="04408DF7" w14:textId="55B9FA16" w:rsidR="0049500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课程时间：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2天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，6小时/天</w:t>
      </w:r>
    </w:p>
    <w:p w14:paraId="3B92FD9E" w14:textId="77777777" w:rsidR="00495005" w:rsidRDefault="00000000">
      <w:pPr>
        <w:snapToGrid w:val="0"/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课程对象：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出海企业各级管理者和HR</w:t>
      </w:r>
    </w:p>
    <w:p w14:paraId="11187BC8" w14:textId="77777777" w:rsidR="00495005" w:rsidRDefault="00000000">
      <w:pPr>
        <w:snapToGrid w:val="0"/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授课方式：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讲解、课堂互动、案例分享、实操练习、工具运用、小组讨论</w:t>
      </w:r>
    </w:p>
    <w:p w14:paraId="735151EA" w14:textId="77777777" w:rsidR="00495005" w:rsidRDefault="00495005">
      <w:pPr>
        <w:pBdr>
          <w:top w:val="none" w:sz="0" w:space="0" w:color="1F1F1F"/>
          <w:left w:val="none" w:sz="0" w:space="0" w:color="1F1F1F"/>
          <w:bottom w:val="none" w:sz="0" w:space="0" w:color="1F1F1F"/>
          <w:right w:val="none" w:sz="0" w:space="0" w:color="1F1F1F"/>
        </w:pBd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</w:p>
    <w:p w14:paraId="11C068EF" w14:textId="77777777" w:rsidR="00495005" w:rsidRDefault="00000000">
      <w:pPr>
        <w:pStyle w:val="3"/>
        <w:spacing w:before="0" w:after="0" w:line="480" w:lineRule="exact"/>
        <w:jc w:val="center"/>
        <w:rPr>
          <w:rFonts w:ascii="宋体" w:eastAsia="宋体" w:hAnsi="宋体" w:cs="宋体" w:hint="eastAsia"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color w:val="1F4E79"/>
          <w:sz w:val="24"/>
          <w:szCs w:val="24"/>
        </w:rPr>
        <w:t>课程大纲</w:t>
      </w:r>
    </w:p>
    <w:p w14:paraId="1D865418" w14:textId="79E8837C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第一讲</w:t>
      </w:r>
      <w:r w:rsidR="001C173E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出海顶层管控与风险防御（Guard防卫力）</w:t>
      </w:r>
    </w:p>
    <w:p w14:paraId="4554EA32" w14:textId="680928BA" w:rsidR="00495005" w:rsidRDefault="00000000">
      <w:pPr>
        <w:spacing w:line="480" w:lineRule="exact"/>
        <w:rPr>
          <w:rFonts w:ascii="宋体" w:eastAsia="宋体" w:hAnsi="宋体" w:cs="宋体" w:hint="eastAsia"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一、总部与海外分公司的权限划分</w:t>
      </w:r>
    </w:p>
    <w:p w14:paraId="65A952F5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建立“适度授权”的决策边界</w:t>
      </w:r>
    </w:p>
    <w:p w14:paraId="2BE07631" w14:textId="3117A49B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制定人事任免权清单：明确哪些级别必须由总部审批</w:t>
      </w:r>
    </w:p>
    <w:p w14:paraId="5D2312EF" w14:textId="2D1D133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设定财务审批额度：海外负责人可自主支配的资金上限与类目</w:t>
      </w:r>
    </w:p>
    <w:p w14:paraId="259A5290" w14:textId="425D27EB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建立“双线汇报”机制：海外HR既向当地总经理汇报，也向总部HRD汇报</w:t>
      </w:r>
    </w:p>
    <w:p w14:paraId="2C5E1BD5" w14:textId="17927A35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实施“信息穿透”管理：防止海外管理层封锁负面信息</w:t>
      </w:r>
    </w:p>
    <w:p w14:paraId="315E72BA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搭建适应海外业务的组织架构</w:t>
      </w:r>
    </w:p>
    <w:p w14:paraId="0F6413D4" w14:textId="2E7BB0F3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扁平化架构设计：减少汇报层级，提升海外一线响应速度</w:t>
      </w:r>
    </w:p>
    <w:p w14:paraId="0D595FB8" w14:textId="6CCE6C8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设立HRBP（业务合作伙伴）岗位：制衡业务负责人的独断决策</w:t>
      </w:r>
    </w:p>
    <w:p w14:paraId="38B9D60F" w14:textId="6B5B1CD5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远程协同机制：解决国内研发/支持中心与海外销售端的时差与配合问题</w:t>
      </w:r>
    </w:p>
    <w:p w14:paraId="4C55CA7A" w14:textId="6772A006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二、用工合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与劳动风险控制</w:t>
      </w:r>
    </w:p>
    <w:p w14:paraId="124579AC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隐形工会识别与集体谈判应对策略</w:t>
      </w:r>
    </w:p>
    <w:p w14:paraId="0E597CAD" w14:textId="1280DB05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调研目标国工会力量及过往罢工历史数据</w:t>
      </w:r>
    </w:p>
    <w:p w14:paraId="1A10AD60" w14:textId="7F43423F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建立针对激进工会领袖的合法隔离与谈判预案</w:t>
      </w:r>
    </w:p>
    <w:p w14:paraId="0CD7FC04" w14:textId="17C86BA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lastRenderedPageBreak/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测算因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劳资纠纷导致的停工赔偿极限成本</w:t>
      </w:r>
    </w:p>
    <w:p w14:paraId="54EBEB83" w14:textId="79FD078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制定停工期间的业务连续性计划（BCP）</w:t>
      </w:r>
    </w:p>
    <w:p w14:paraId="79B6D40F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杜绝违规用工与签证风险</w:t>
      </w:r>
    </w:p>
    <w:p w14:paraId="75F22A9F" w14:textId="5A4974C9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严禁持商务签证进行实质性工作的具体操作规范</w:t>
      </w:r>
    </w:p>
    <w:p w14:paraId="665A1A9C" w14:textId="07C9D47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严格执行当地加班费支付标准与强制休假规定</w:t>
      </w:r>
    </w:p>
    <w:p w14:paraId="29BBAE76" w14:textId="6DB7DFC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建立海外员工背景调查的数据合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流程（符合GDPR等隐私法）</w:t>
      </w:r>
    </w:p>
    <w:p w14:paraId="2020ABE7" w14:textId="3E1D24C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审核招聘广告用词：剔除年龄、性别、种族等可能引发歧视诉讼的词汇</w:t>
      </w:r>
    </w:p>
    <w:p w14:paraId="206F77E4" w14:textId="1547C5A9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5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应对税务局针对外派人员个税合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性的稽查流程</w:t>
      </w:r>
    </w:p>
    <w:p w14:paraId="6F57176E" w14:textId="3371F2C0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三、极端危机应对与资产保全</w:t>
      </w:r>
    </w:p>
    <w:p w14:paraId="7B2ABA3D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突发政治动荡下的应急响应</w:t>
      </w:r>
    </w:p>
    <w:p w14:paraId="3137A9ED" w14:textId="4BFD3D0B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制定海外员工分批次紧急撤离路线图</w:t>
      </w:r>
    </w:p>
    <w:p w14:paraId="3F7EB500" w14:textId="3859F4BA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销毁或加密敏感人事数据与商业机密的操作流程</w:t>
      </w:r>
    </w:p>
    <w:p w14:paraId="7AF29AE9" w14:textId="368A292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预设关键岗位人员失联后的紧急接管预案</w:t>
      </w:r>
    </w:p>
    <w:p w14:paraId="670FD663" w14:textId="77777777" w:rsidR="001C173E" w:rsidRDefault="00000000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落地工具：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《海外用工法律风险自查清单》</w:t>
      </w:r>
    </w:p>
    <w:p w14:paraId="5A8F5C3E" w14:textId="77777777" w:rsidR="001C173E" w:rsidRDefault="001C173E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</w:p>
    <w:p w14:paraId="7C6669DF" w14:textId="5337F797" w:rsidR="00495005" w:rsidRPr="001C173E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第二讲</w:t>
      </w:r>
      <w:r w:rsidR="001C173E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人才选拔与跨文化团队融合（Fusion融合力）</w:t>
      </w:r>
    </w:p>
    <w:p w14:paraId="7FF87A7B" w14:textId="25224907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一、外派人员选拔与家庭安置</w:t>
      </w:r>
    </w:p>
    <w:p w14:paraId="7A7FC53A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建立多维度的外派人员筛选标准</w:t>
      </w:r>
    </w:p>
    <w:p w14:paraId="12BE4EB7" w14:textId="4AA599DC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考察候选人在模糊环境下的抗压与决策能力</w:t>
      </w:r>
    </w:p>
    <w:p w14:paraId="29DE73B6" w14:textId="4AEC2E3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评估候选人配偶对海外生活的真实接受度</w:t>
      </w:r>
    </w:p>
    <w:p w14:paraId="5609CD8E" w14:textId="3957F358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验证候选人是否具备“身兼数职”的综合业务能力</w:t>
      </w:r>
    </w:p>
    <w:p w14:paraId="511FA284" w14:textId="12BC6341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剔除具有大国沙文主义倾向或缺乏文化包容性的人员</w:t>
      </w:r>
    </w:p>
    <w:p w14:paraId="45AA8B4D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外派人员家庭后顾之忧的解决方案</w:t>
      </w:r>
    </w:p>
    <w:p w14:paraId="3AAEF1A6" w14:textId="6EE70D0F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制定涵盖配偶工作安置与子女国际教育的补贴政策</w:t>
      </w:r>
    </w:p>
    <w:p w14:paraId="64793DA0" w14:textId="0D2BBA81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购买覆盖当地私立医疗机构的全球商业保险</w:t>
      </w:r>
    </w:p>
    <w:p w14:paraId="1A3E188A" w14:textId="1FBB88F0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建立国内社保公积金代缴的操作路径</w:t>
      </w:r>
    </w:p>
    <w:p w14:paraId="5B4031CF" w14:textId="0F534048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4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设立国内家属紧急事务协助小组</w:t>
      </w:r>
    </w:p>
    <w:p w14:paraId="48C3BD92" w14:textId="2F585DF9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二、本地化人才招聘与管理</w:t>
      </w:r>
    </w:p>
    <w:p w14:paraId="184C6F0C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本地高端人才引进策略</w:t>
      </w:r>
    </w:p>
    <w:p w14:paraId="474CCD24" w14:textId="2CED0C21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制定高于市场分位值的薪酬策略以弥补雇主品牌劣势</w:t>
      </w:r>
    </w:p>
    <w:p w14:paraId="6866B73E" w14:textId="4F94CF23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lastRenderedPageBreak/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设计期权或长期激励工具锁定核心技术骨干</w:t>
      </w:r>
    </w:p>
    <w:p w14:paraId="4790A535" w14:textId="6ADA0DA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挖掘被欧美企业边缘化的华裔或“知华派”人才</w:t>
      </w:r>
    </w:p>
    <w:p w14:paraId="131EBA5F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简历甄别与背景调查实务</w:t>
      </w:r>
    </w:p>
    <w:p w14:paraId="1CE0995E" w14:textId="2BF8561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拓展针对特定区域（如东南亚、印度）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的背调渠道</w:t>
      </w:r>
      <w:proofErr w:type="gramEnd"/>
    </w:p>
    <w:p w14:paraId="6F68703B" w14:textId="4D6907AF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采用实操测试代替面试问答，验证技能真实性</w:t>
      </w:r>
    </w:p>
    <w:p w14:paraId="14A67369" w14:textId="50E74CF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识别当地人才频繁跳槽的职业轨迹风险</w:t>
      </w:r>
    </w:p>
    <w:p w14:paraId="50A62CE1" w14:textId="6C19D76C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三、跨文化团队协作规则</w:t>
      </w:r>
    </w:p>
    <w:p w14:paraId="12149440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消除中外员工沟通隔阂</w:t>
      </w:r>
    </w:p>
    <w:p w14:paraId="3A880CEE" w14:textId="0271185B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制定办公场所语言规范：禁止在有外籍员工在场时使用中文讨论</w:t>
      </w:r>
    </w:p>
    <w:p w14:paraId="1064CA59" w14:textId="2F871D99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推行双语文档管理制度：确保核心信息同步</w:t>
      </w:r>
    </w:p>
    <w:p w14:paraId="05B3818A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解决工作习惯与文化冲突</w:t>
      </w:r>
    </w:p>
    <w:p w14:paraId="527D505E" w14:textId="79C9408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应对当地员工“准点下班”的项目节点倒推管理法</w:t>
      </w:r>
    </w:p>
    <w:p w14:paraId="2C80F9B2" w14:textId="7A9B251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平衡当地员工拒绝加班与中国企业效率要求的矛盾</w:t>
      </w:r>
    </w:p>
    <w:p w14:paraId="6AF7E971" w14:textId="7155D36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设立“双语双文化”桥梁经理岗位以缓冲直接冲突</w:t>
      </w:r>
    </w:p>
    <w:p w14:paraId="43C394B4" w14:textId="7777777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活动名称：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简历风险排查实战</w:t>
      </w:r>
    </w:p>
    <w:p w14:paraId="05879067" w14:textId="77777777" w:rsidR="001C173E" w:rsidRDefault="00000000" w:rsidP="001C173E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落地工具：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《外派人员家庭适应性评估问卷》</w:t>
      </w:r>
    </w:p>
    <w:p w14:paraId="7BB56992" w14:textId="77777777" w:rsidR="001C173E" w:rsidRDefault="001C173E" w:rsidP="001C173E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</w:p>
    <w:p w14:paraId="347533FA" w14:textId="2186C38B" w:rsidR="00495005" w:rsidRPr="001C173E" w:rsidRDefault="00000000" w:rsidP="001C173E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第三讲</w:t>
      </w:r>
      <w:r w:rsidR="001C173E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全球化薪酬绩效与激励机制</w:t>
      </w:r>
      <w:r>
        <w:rPr>
          <w:rFonts w:ascii="宋体" w:eastAsia="宋体" w:hAnsi="宋体" w:cs="宋体" w:hint="eastAsia"/>
          <w:color w:val="1F4E79"/>
          <w:sz w:val="24"/>
          <w:szCs w:val="24"/>
        </w:rPr>
        <w:t>（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Growth增长力）</w:t>
      </w:r>
    </w:p>
    <w:p w14:paraId="0F57DB2F" w14:textId="4A08686A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一、全球薪酬体系设计与税务筹划</w:t>
      </w:r>
    </w:p>
    <w:p w14:paraId="388059FD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构建差异化的宽带薪</w:t>
      </w:r>
      <w:proofErr w:type="gramStart"/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酬</w:t>
      </w:r>
      <w:proofErr w:type="gramEnd"/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体系</w:t>
      </w:r>
    </w:p>
    <w:p w14:paraId="2F09166E" w14:textId="6E7978F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依据国际薪酬数据（如美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世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）设定不同国家的基准薪酬</w:t>
      </w:r>
    </w:p>
    <w:p w14:paraId="0AAE336F" w14:textId="026254E6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解决同岗位中国外派与本地员工薪资差异的处理原则</w:t>
      </w:r>
    </w:p>
    <w:p w14:paraId="57F7E903" w14:textId="1E603C5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应对汇率波动对员工实际收入影响的调整机制</w:t>
      </w:r>
    </w:p>
    <w:p w14:paraId="5CB30110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合</w:t>
      </w:r>
      <w:proofErr w:type="gramStart"/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规</w:t>
      </w:r>
      <w:proofErr w:type="gramEnd"/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税务筹划与实得收入优化</w:t>
      </w:r>
    </w:p>
    <w:p w14:paraId="5A3CAF02" w14:textId="1ACCC78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利用驻外津贴免税政策拆分工资结构</w:t>
      </w:r>
    </w:p>
    <w:p w14:paraId="6512C4A7" w14:textId="34AD21D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在高税负国家通过福利实物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化降低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名义工资基数</w:t>
      </w:r>
    </w:p>
    <w:p w14:paraId="1C0F2E36" w14:textId="19C3DF98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明确离岸账户发放奖金的合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规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边界与风险</w:t>
      </w:r>
    </w:p>
    <w:p w14:paraId="0D6C848B" w14:textId="3F9A77D6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二、本地化绩效考核实施</w:t>
      </w:r>
    </w:p>
    <w:p w14:paraId="17258172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目标管理与结果导向考核</w:t>
      </w:r>
    </w:p>
    <w:p w14:paraId="14E3A7B1" w14:textId="72EFE332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将年度目标拆解为可视化的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周任务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进行追踪</w:t>
      </w:r>
    </w:p>
    <w:p w14:paraId="7CA4EA65" w14:textId="2F9BC6A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lastRenderedPageBreak/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降低主观态度评分权重，提升交付结果权重</w:t>
      </w:r>
    </w:p>
    <w:p w14:paraId="5DC10E44" w14:textId="21ADB190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针对销售岗位设计高提成、低底薪的激励方案</w:t>
      </w:r>
    </w:p>
    <w:p w14:paraId="524D1DFE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绩效面谈与结果确认</w:t>
      </w:r>
    </w:p>
    <w:p w14:paraId="73848A90" w14:textId="4CF0301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适应高语境文化（如日本）与低语境文化（如德国）的反馈方式</w:t>
      </w:r>
    </w:p>
    <w:p w14:paraId="3EC4A8BA" w14:textId="1168F6DE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建立绩效面谈结果的书面确认与签字制度</w:t>
      </w:r>
    </w:p>
    <w:p w14:paraId="1989CF80" w14:textId="0181D0F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整理绩效不达标证据链，为可能发生的</w:t>
      </w:r>
      <w:proofErr w:type="gramStart"/>
      <w:r>
        <w:rPr>
          <w:rFonts w:ascii="宋体" w:eastAsia="宋体" w:hAnsi="宋体" w:cs="宋体" w:hint="eastAsia"/>
          <w:color w:val="auto"/>
          <w:sz w:val="24"/>
          <w:szCs w:val="24"/>
        </w:rPr>
        <w:t>解雇做</w:t>
      </w:r>
      <w:proofErr w:type="gramEnd"/>
      <w:r>
        <w:rPr>
          <w:rFonts w:ascii="宋体" w:eastAsia="宋体" w:hAnsi="宋体" w:cs="宋体" w:hint="eastAsia"/>
          <w:color w:val="auto"/>
          <w:sz w:val="24"/>
          <w:szCs w:val="24"/>
        </w:rPr>
        <w:t>准备</w:t>
      </w:r>
    </w:p>
    <w:p w14:paraId="56EA1281" w14:textId="23F4119A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三、海外团队激励策略</w:t>
      </w:r>
    </w:p>
    <w:p w14:paraId="6CD4B0C2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针对文化属性调整激励手段</w:t>
      </w:r>
    </w:p>
    <w:p w14:paraId="368DF0C6" w14:textId="03D01173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欧美国家：侧重个人业绩表彰与职位晋升</w:t>
      </w:r>
    </w:p>
    <w:p w14:paraId="7E5A9DCA" w14:textId="2DCB58C6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日韩/东南亚国家：侧重团队集体奖励与荣誉表彰</w:t>
      </w:r>
    </w:p>
    <w:p w14:paraId="7564419F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短期激励与长期留存组合</w:t>
      </w:r>
    </w:p>
    <w:p w14:paraId="223658B0" w14:textId="02FE22A5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设立项目里程碑奖金，实现即时激励</w:t>
      </w:r>
    </w:p>
    <w:p w14:paraId="19F52F62" w14:textId="5A024283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明确外派人员回国后的职级保留与晋升通道</w:t>
      </w:r>
    </w:p>
    <w:p w14:paraId="6E27751A" w14:textId="77777777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活动名称：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薪酬谈判模拟</w:t>
      </w:r>
    </w:p>
    <w:p w14:paraId="756DABBC" w14:textId="77777777" w:rsidR="001C173E" w:rsidRDefault="00000000" w:rsidP="001C173E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落地工具：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《全球驻外津贴与艰苦地区系数表》</w:t>
      </w:r>
    </w:p>
    <w:p w14:paraId="5125EB38" w14:textId="77777777" w:rsidR="001C173E" w:rsidRDefault="001C173E" w:rsidP="001C173E">
      <w:pPr>
        <w:spacing w:line="480" w:lineRule="exact"/>
        <w:rPr>
          <w:rFonts w:ascii="宋体" w:eastAsia="宋体" w:hAnsi="宋体" w:cs="宋体"/>
          <w:color w:val="auto"/>
          <w:sz w:val="24"/>
          <w:szCs w:val="24"/>
        </w:rPr>
      </w:pPr>
    </w:p>
    <w:p w14:paraId="68D0F74C" w14:textId="469DD5AF" w:rsidR="00495005" w:rsidRPr="001C173E" w:rsidRDefault="00000000" w:rsidP="001C173E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第四讲</w:t>
      </w:r>
      <w:r w:rsidR="001C173E"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  <w:szCs w:val="24"/>
        </w:rPr>
        <w:t>退出机制与人才回流管理</w:t>
      </w:r>
    </w:p>
    <w:p w14:paraId="33AC1AFE" w14:textId="301B7623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一、外派人员回任安置</w:t>
      </w:r>
    </w:p>
    <w:p w14:paraId="6C9449D4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回国岗位锁定与职业发展规划</w:t>
      </w:r>
    </w:p>
    <w:p w14:paraId="0FE135C4" w14:textId="60690391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派出前签订岗位保留与回任安置协议</w:t>
      </w:r>
    </w:p>
    <w:p w14:paraId="4DD85B79" w14:textId="1091CA46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建立外派期间与国内总部的定期述职机制</w:t>
      </w:r>
    </w:p>
    <w:p w14:paraId="0039FE70" w14:textId="3EB47BB0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协助外派人员适应国内工作节奏与环境变化</w:t>
      </w:r>
    </w:p>
    <w:p w14:paraId="4BE2BB1F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知识资产萃取与传承</w:t>
      </w:r>
    </w:p>
    <w:p w14:paraId="54316316" w14:textId="0730B0D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强制要求离任前输出海外市场实操手册</w:t>
      </w:r>
    </w:p>
    <w:p w14:paraId="05B32E85" w14:textId="78F9F5B2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建立师徒制：由老外派人员辅导新外派人员</w:t>
      </w:r>
    </w:p>
    <w:p w14:paraId="460C4A88" w14:textId="2C16FCD9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将海外人脉资源导入公司CRM系统，防止个人垄断</w:t>
      </w:r>
    </w:p>
    <w:p w14:paraId="60940F4F" w14:textId="288FF535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二、本地员工离职管理与纠纷处理</w:t>
      </w:r>
    </w:p>
    <w:p w14:paraId="2B1C239D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高成本环境下的解雇操作</w:t>
      </w:r>
    </w:p>
    <w:p w14:paraId="718F16AC" w14:textId="4CE4E5B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欧洲国家协商解除劳动合同的谈判策略与补偿标准</w:t>
      </w:r>
    </w:p>
    <w:p w14:paraId="1965C01E" w14:textId="4E7C9CA0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利用试用期规则终止不合格员工的劳动关系</w:t>
      </w:r>
    </w:p>
    <w:p w14:paraId="6F880DA5" w14:textId="752B72C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lastRenderedPageBreak/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应对被解雇员工发起的歧视或不当解雇诉讼</w:t>
      </w:r>
    </w:p>
    <w:p w14:paraId="51806F79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2. 离职后的商业秘密保护与资产回收</w:t>
      </w:r>
    </w:p>
    <w:p w14:paraId="47414A9A" w14:textId="6251DE6D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审核竞业限制条款在当地法律中的有效性</w:t>
      </w:r>
    </w:p>
    <w:p w14:paraId="2ED7C106" w14:textId="1428DE73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远程清除离职员工移动设备中的公司邮件与数据</w:t>
      </w:r>
    </w:p>
    <w:p w14:paraId="2614DD2C" w14:textId="0AB1562A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3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发送正式律师函警告其不得违反保密义务</w:t>
      </w:r>
    </w:p>
    <w:p w14:paraId="09759A3C" w14:textId="35BEB996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  <w:szCs w:val="24"/>
        </w:rPr>
        <w:t>三、全球化人才梯队建设</w:t>
      </w:r>
    </w:p>
    <w:p w14:paraId="7FAA9A94" w14:textId="77777777" w:rsidR="00495005" w:rsidRPr="001C173E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 w:rsidRPr="001C173E"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1. 建立跨国轮岗机制</w:t>
      </w:r>
    </w:p>
    <w:p w14:paraId="4EF9151A" w14:textId="402736D4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1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选拔国内高潜人才强制派往艰苦国家历练</w:t>
      </w:r>
    </w:p>
    <w:p w14:paraId="44AB71AB" w14:textId="3602A948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color w:val="auto"/>
          <w:sz w:val="24"/>
          <w:szCs w:val="24"/>
        </w:rPr>
        <w:t>2</w:t>
      </w:r>
      <w:r w:rsidR="001C173E">
        <w:rPr>
          <w:rFonts w:ascii="宋体" w:eastAsia="宋体" w:hAnsi="宋体" w:cs="宋体" w:hint="eastAsia"/>
          <w:color w:val="auto"/>
          <w:sz w:val="24"/>
          <w:szCs w:val="24"/>
        </w:rPr>
        <w:t>）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筛选海外优秀留学生作为储备干部回国培训再外派</w:t>
      </w:r>
    </w:p>
    <w:p w14:paraId="00348431" w14:textId="77777777" w:rsidR="00495005" w:rsidRDefault="00000000">
      <w:pPr>
        <w:spacing w:line="480" w:lineRule="exact"/>
        <w:rPr>
          <w:rFonts w:ascii="宋体" w:eastAsia="宋体" w:hAnsi="宋体" w:cs="宋体" w:hint="eastAsia"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活动名称：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三个真实的海外管理失败案例复盘研讨</w:t>
      </w:r>
    </w:p>
    <w:p w14:paraId="79C001D2" w14:textId="77777777" w:rsidR="00495005" w:rsidRDefault="00000000">
      <w:pPr>
        <w:spacing w:line="480" w:lineRule="exact"/>
        <w:rPr>
          <w:rFonts w:ascii="宋体" w:eastAsia="宋体" w:hAnsi="宋体" w:cs="宋体" w:hint="eastAsia"/>
          <w:b/>
          <w:bCs/>
          <w:color w:val="auto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auto"/>
          <w:sz w:val="24"/>
          <w:szCs w:val="24"/>
        </w:rPr>
        <w:t>落地工具：</w:t>
      </w:r>
      <w:r>
        <w:rPr>
          <w:rFonts w:ascii="宋体" w:eastAsia="宋体" w:hAnsi="宋体" w:cs="宋体" w:hint="eastAsia"/>
          <w:color w:val="auto"/>
          <w:sz w:val="24"/>
          <w:szCs w:val="24"/>
        </w:rPr>
        <w:t>《海外员工离职交接清单》</w:t>
      </w:r>
    </w:p>
    <w:sectPr w:rsidR="00495005">
      <w:pgSz w:w="11906" w:h="16838"/>
      <w:pgMar w:top="1134" w:right="1134" w:bottom="1134" w:left="1134" w:header="13" w:footer="13" w:gutter="0"/>
      <w:cols w:space="0"/>
      <w:docGrid w:type="lines"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00001"/>
    <w:multiLevelType w:val="singleLevel"/>
    <w:tmpl w:val="20000001"/>
    <w:lvl w:ilvl="0">
      <w:start w:val="1"/>
      <w:numFmt w:val="decimal"/>
      <w:pStyle w:val="CodeBlock"/>
      <w:suff w:val="space"/>
      <w:lvlText w:val="%1 "/>
      <w:lvlJc w:val="right"/>
      <w:rPr>
        <w:rFonts w:ascii="微软雅黑" w:eastAsia="微软雅黑" w:hAnsi="微软雅黑" w:cs="微软雅黑"/>
        <w:color w:val="C0C6CF"/>
        <w:sz w:val="16"/>
      </w:rPr>
    </w:lvl>
  </w:abstractNum>
  <w:num w:numId="1" w16cid:durableId="166192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420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5005"/>
    <w:rsid w:val="001C173E"/>
    <w:rsid w:val="00255EB8"/>
    <w:rsid w:val="00495005"/>
    <w:rsid w:val="00E47932"/>
    <w:rsid w:val="07127D3C"/>
    <w:rsid w:val="21806168"/>
    <w:rsid w:val="2A0672AB"/>
    <w:rsid w:val="36ED3D65"/>
    <w:rsid w:val="3B16583E"/>
    <w:rsid w:val="514C6649"/>
    <w:rsid w:val="5D11143C"/>
    <w:rsid w:val="69380A14"/>
    <w:rsid w:val="7086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2B248"/>
  <w15:docId w15:val="{EF74EB9B-639D-4506-9E7A-C9292A68E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textAlignment w:val="baseline"/>
    </w:pPr>
    <w:rPr>
      <w:rFonts w:ascii="微软雅黑" w:eastAsia="微软雅黑" w:hAnsi="微软雅黑" w:cs="微软雅黑"/>
      <w:color w:val="080F17"/>
      <w:sz w:val="22"/>
    </w:rPr>
  </w:style>
  <w:style w:type="paragraph" w:styleId="1">
    <w:name w:val="heading 1"/>
    <w:basedOn w:val="a"/>
    <w:qFormat/>
    <w:pPr>
      <w:spacing w:before="390" w:after="120" w:line="634" w:lineRule="exact"/>
      <w:outlineLvl w:val="0"/>
    </w:pPr>
    <w:rPr>
      <w:b/>
      <w:sz w:val="38"/>
    </w:rPr>
  </w:style>
  <w:style w:type="paragraph" w:styleId="2">
    <w:name w:val="heading 2"/>
    <w:basedOn w:val="a"/>
    <w:qFormat/>
    <w:pPr>
      <w:spacing w:before="330" w:after="120" w:line="536" w:lineRule="exact"/>
      <w:outlineLvl w:val="1"/>
    </w:pPr>
    <w:rPr>
      <w:b/>
      <w:sz w:val="32"/>
    </w:rPr>
  </w:style>
  <w:style w:type="paragraph" w:styleId="3">
    <w:name w:val="heading 3"/>
    <w:basedOn w:val="a"/>
    <w:qFormat/>
    <w:pPr>
      <w:spacing w:before="300" w:after="120" w:line="488" w:lineRule="exact"/>
      <w:outlineLvl w:val="2"/>
    </w:pPr>
    <w:rPr>
      <w:b/>
      <w:sz w:val="30"/>
    </w:rPr>
  </w:style>
  <w:style w:type="paragraph" w:styleId="4">
    <w:name w:val="heading 4"/>
    <w:basedOn w:val="a"/>
    <w:qFormat/>
    <w:pPr>
      <w:spacing w:before="270" w:after="120" w:line="439" w:lineRule="exact"/>
      <w:outlineLvl w:val="3"/>
    </w:pPr>
    <w:rPr>
      <w:b/>
      <w:sz w:val="26"/>
    </w:rPr>
  </w:style>
  <w:style w:type="paragraph" w:styleId="5">
    <w:name w:val="heading 5"/>
    <w:basedOn w:val="a"/>
    <w:qFormat/>
    <w:pPr>
      <w:spacing w:before="240" w:after="120" w:line="390" w:lineRule="exact"/>
      <w:outlineLvl w:val="4"/>
    </w:pPr>
    <w:rPr>
      <w:b/>
    </w:rPr>
  </w:style>
  <w:style w:type="paragraph" w:styleId="6">
    <w:name w:val="heading 6"/>
    <w:basedOn w:val="a"/>
    <w:qFormat/>
    <w:pPr>
      <w:spacing w:before="240" w:after="120" w:line="390" w:lineRule="exact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</w:pPr>
    <w:rPr>
      <w:rFonts w:cs="Times New Roman"/>
      <w:sz w:val="24"/>
    </w:rPr>
  </w:style>
  <w:style w:type="table" w:styleId="a4">
    <w:name w:val="Table Grid"/>
    <w:qFormat/>
    <w:tblPr>
      <w:tblBorders>
        <w:top w:val="single" w:sz="6" w:space="0" w:color="080F17"/>
        <w:left w:val="single" w:sz="6" w:space="0" w:color="080F17"/>
        <w:bottom w:val="single" w:sz="6" w:space="0" w:color="080F17"/>
        <w:right w:val="single" w:sz="6" w:space="0" w:color="080F17"/>
        <w:insideH w:val="single" w:sz="6" w:space="0" w:color="080F17"/>
        <w:insideV w:val="single" w:sz="6" w:space="0" w:color="080F17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qFormat/>
    <w:rPr>
      <w:color w:val="0A6CFF"/>
      <w:u w:val="single" w:color="0A6CFF"/>
    </w:rPr>
  </w:style>
  <w:style w:type="paragraph" w:customStyle="1" w:styleId="MainTitle">
    <w:name w:val="MainTitle"/>
    <w:basedOn w:val="a"/>
    <w:qFormat/>
    <w:pPr>
      <w:pBdr>
        <w:bottom w:val="single" w:sz="6" w:space="5" w:color="E2E6ED"/>
      </w:pBdr>
      <w:spacing w:before="180" w:after="480" w:line="780" w:lineRule="exact"/>
    </w:pPr>
    <w:rPr>
      <w:b/>
      <w:sz w:val="44"/>
    </w:rPr>
  </w:style>
  <w:style w:type="character" w:customStyle="1" w:styleId="DateTime">
    <w:name w:val="DateTime"/>
    <w:qFormat/>
    <w:rPr>
      <w:color w:val="0A6CFF"/>
    </w:rPr>
  </w:style>
  <w:style w:type="paragraph" w:customStyle="1" w:styleId="Blockquote">
    <w:name w:val="Blockquote"/>
    <w:basedOn w:val="a"/>
    <w:qFormat/>
    <w:pPr>
      <w:pBdr>
        <w:left w:val="single" w:sz="36" w:space="12" w:color="E2E6ED"/>
      </w:pBdr>
      <w:ind w:left="330"/>
    </w:pPr>
    <w:rPr>
      <w:color w:val="767C85"/>
    </w:rPr>
  </w:style>
  <w:style w:type="character" w:customStyle="1" w:styleId="Code">
    <w:name w:val="Code"/>
    <w:qFormat/>
    <w:rPr>
      <w:bdr w:val="single" w:sz="6" w:space="0" w:color="E2E6ED"/>
    </w:rPr>
  </w:style>
  <w:style w:type="character" w:customStyle="1" w:styleId="Emoji">
    <w:name w:val="Emoji"/>
    <w:qFormat/>
    <w:rPr>
      <w:rFonts w:ascii="Segoe UI Emoji" w:eastAsia="Segoe UI Emoji" w:hAnsi="Segoe UI Emoji" w:cs="Segoe UI Emoji"/>
    </w:rPr>
  </w:style>
  <w:style w:type="paragraph" w:customStyle="1" w:styleId="CodeBlock">
    <w:name w:val="CodeBlock"/>
    <w:basedOn w:val="a"/>
    <w:qFormat/>
    <w:pPr>
      <w:numPr>
        <w:numId w:val="1"/>
      </w:numPr>
      <w:pBdr>
        <w:top w:val="single" w:sz="6" w:space="8" w:color="E2E6ED"/>
        <w:left w:val="single" w:sz="6" w:space="26" w:color="E2E6ED"/>
        <w:bottom w:val="single" w:sz="6" w:space="8" w:color="E2E6ED"/>
        <w:right w:val="single" w:sz="6" w:space="0" w:color="E2E6ED"/>
      </w:pBdr>
      <w:shd w:val="clear" w:color="FFFFFF" w:fill="F5F7F9"/>
      <w:spacing w:line="300" w:lineRule="exact"/>
      <w:ind w:left="540"/>
    </w:pPr>
    <w:rPr>
      <w:sz w:val="18"/>
    </w:rPr>
  </w:style>
  <w:style w:type="table" w:customStyle="1" w:styleId="HighlightBlock">
    <w:name w:val="HighlightBlock"/>
    <w:qFormat/>
    <w:tblPr>
      <w:tblBorders>
        <w:top w:val="single" w:sz="6" w:space="0" w:color="FEC794"/>
        <w:left w:val="single" w:sz="6" w:space="0" w:color="FEC794"/>
        <w:bottom w:val="single" w:sz="6" w:space="0" w:color="FEC794"/>
        <w:right w:val="single" w:sz="6" w:space="0" w:color="FEC794"/>
        <w:insideH w:val="single" w:sz="6" w:space="0" w:color="FEC794"/>
        <w:insideV w:val="single" w:sz="6" w:space="0" w:color="FEC7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perate">
    <w:name w:val="Seperate"/>
    <w:basedOn w:val="a"/>
    <w:qFormat/>
    <w:pPr>
      <w:spacing w:line="12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webotl</dc:creator>
  <cp:lastModifiedBy>Administrator</cp:lastModifiedBy>
  <cp:revision>2</cp:revision>
  <dcterms:created xsi:type="dcterms:W3CDTF">2026-02-15T11:42:00Z</dcterms:created>
  <dcterms:modified xsi:type="dcterms:W3CDTF">2026-03-17T07:21:00Z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webotl</vt:lpwstr>
  </property>
  <property fmtid="{D5CDD505-2E9C-101B-9397-08002B2CF9AE}" pid="3" name="KSOTemplateDocerSaveRecord">
    <vt:lpwstr>eyJoZGlkIjoiMDllMjU1MjNiZDc5NzQzYmFkNzU3YTFlOGNhZjFhZGQiLCJ1c2VySWQiOiIyOTEwNzgzOTEifQ==</vt:lpwstr>
  </property>
  <property fmtid="{D5CDD505-2E9C-101B-9397-08002B2CF9AE}" pid="4" name="KSOProductBuildVer">
    <vt:lpwstr>2052-12.1.0.25225</vt:lpwstr>
  </property>
  <property fmtid="{D5CDD505-2E9C-101B-9397-08002B2CF9AE}" pid="5" name="ICV">
    <vt:lpwstr>F76A7C754CBA4D69A40FD246C365C3DD_12</vt:lpwstr>
  </property>
</Properties>
</file>