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DCF7" w14:textId="77777777" w:rsidR="00952FAB" w:rsidRDefault="00000000">
      <w:pPr>
        <w:spacing w:line="480" w:lineRule="exact"/>
        <w:jc w:val="center"/>
        <w:rPr>
          <w:rFonts w:ascii="宋体" w:eastAsia="宋体" w:hAnsi="宋体" w:cs="宋体" w:hint="eastAsia"/>
          <w:b/>
          <w:color w:val="1F4E79"/>
          <w:sz w:val="32"/>
          <w:szCs w:val="32"/>
        </w:rPr>
      </w:pPr>
      <w:r>
        <w:rPr>
          <w:rFonts w:ascii="宋体" w:eastAsia="宋体" w:hAnsi="宋体" w:cs="宋体" w:hint="eastAsia"/>
          <w:b/>
          <w:color w:val="1F4E79"/>
          <w:sz w:val="32"/>
          <w:szCs w:val="32"/>
        </w:rPr>
        <w:t>跳出工具思维：AI赋能解决问题（2026）</w:t>
      </w:r>
    </w:p>
    <w:p w14:paraId="0195BCE9" w14:textId="77777777" w:rsidR="00952FAB" w:rsidRDefault="00952FAB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</w:p>
    <w:p w14:paraId="687CED91" w14:textId="7100721C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课程背景</w:t>
      </w:r>
      <w:r w:rsidR="00B01248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</w:p>
    <w:p w14:paraId="1BB2B2FD" w14:textId="77777777" w:rsidR="00952FAB" w:rsidRDefault="00000000">
      <w:pPr>
        <w:spacing w:line="480" w:lineRule="exact"/>
        <w:ind w:firstLineChars="200" w:firstLine="480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当前，人工智能（AI）已逐步渗透至人力资源管理的各个环节。然而，绝大多数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职场人员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对AI的应用仍停留在“信息检索”或“基础文案生成”的浅层阶段，难以利用AI解决涉及资源配置、合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规风控及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组织变革等复杂的管理难题。根本原因在于，通用大模型缺乏企业特定的业务背景与隐性知识，而使用者往往缺乏将业务经验转化为结构化指令的系统思维，导致AI产出的方案逻辑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自洽但脱离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实际，无法真正落地。</w:t>
      </w:r>
    </w:p>
    <w:p w14:paraId="318954A6" w14:textId="77777777" w:rsidR="00952FAB" w:rsidRDefault="00000000">
      <w:pPr>
        <w:spacing w:line="480" w:lineRule="exact"/>
        <w:ind w:firstLineChars="200" w:firstLine="480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本课程基于独创的“AI思考环（AI Thinking Loop）”实战模型，专为解决工作业务场景中“上级指令模糊难定义、AI方案悬浮难落地、交付成果价值难对齐”的三大核心痛点而设计。课程摒弃碎片化的提示词技巧堆砌，构建了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套包含“意图逻辑推理”、“资源与合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校准（4M1E）”及“受众差异化交付”的严密工作流。通过系统化的实战训练，旨在帮助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职场人员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建立人机深度协作的新型工作范式，将AI从简单的效率工具升级为具备逻辑推理能力的业务参谋，实现从事务执行者向高阶问题解决者的职能跨越。</w:t>
      </w:r>
    </w:p>
    <w:p w14:paraId="7C813BBE" w14:textId="77777777" w:rsidR="00952FAB" w:rsidRDefault="00952FAB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</w:p>
    <w:p w14:paraId="04DDE741" w14:textId="39267F01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课程收益</w:t>
      </w:r>
      <w:r w:rsidR="00B01248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</w:p>
    <w:p w14:paraId="4FFD6C93" w14:textId="14E31352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1. 思维重塑：掌握“AI思考环”结构化解题模型，摒弃搜索式用法，建立“人机协作”的顾问式思维。</w:t>
      </w:r>
    </w:p>
    <w:p w14:paraId="483B1393" w14:textId="6668EEFA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2. 精准定义：习得模糊指令分析技术，能够利用逻辑推理精准锁定上级意图，规避方向性风险。</w:t>
      </w:r>
    </w:p>
    <w:p w14:paraId="1D6AD5E1" w14:textId="62A4E3E1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3. 落地风控：掌握HR版“4M1E”校准模型，具备对AI方案进行合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性、数据安全及资源匹配性审查的能力。</w:t>
      </w:r>
    </w:p>
    <w:p w14:paraId="269BECA9" w14:textId="6AC720A1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4. 价值交付：提升差异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化表达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能力，能够针对决策层与执行层分别输出高价值的决策摘要或实操指南。</w:t>
      </w:r>
    </w:p>
    <w:p w14:paraId="46D2D3A7" w14:textId="743B9DEC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5. 资产沉淀：构建个人专属的标准化提示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词资产库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，实现复杂业务处理经验的可复用与团队化传承。</w:t>
      </w:r>
    </w:p>
    <w:p w14:paraId="482BD879" w14:textId="77777777" w:rsidR="00952FAB" w:rsidRDefault="00952FAB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</w:p>
    <w:p w14:paraId="551C6F60" w14:textId="77777777" w:rsidR="00952FAB" w:rsidRDefault="00000000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课程框架：</w:t>
      </w:r>
    </w:p>
    <w:p w14:paraId="3EE99269" w14:textId="77777777" w:rsidR="00952FAB" w:rsidRDefault="00000000">
      <w:pPr>
        <w:widowControl w:val="0"/>
        <w:snapToGrid w:val="0"/>
        <w:textAlignment w:val="auto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auto"/>
          <w:sz w:val="24"/>
          <w:szCs w:val="24"/>
        </w:rPr>
        <w:lastRenderedPageBreak/>
        <w:drawing>
          <wp:inline distT="0" distB="0" distL="114300" distR="114300" wp14:anchorId="3C8DA74B" wp14:editId="2157C649">
            <wp:extent cx="5270500" cy="21418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AC80" w14:textId="77777777" w:rsidR="00952FAB" w:rsidRDefault="00952FAB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</w:p>
    <w:p w14:paraId="78C0629E" w14:textId="77777777" w:rsidR="00952FAB" w:rsidRDefault="00000000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2天，6小时/天</w:t>
      </w:r>
    </w:p>
    <w:p w14:paraId="0794497A" w14:textId="61B5E267" w:rsidR="00952FAB" w:rsidRDefault="00B01248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对象：</w:t>
      </w:r>
      <w:r w:rsidR="00000000">
        <w:rPr>
          <w:rFonts w:ascii="宋体" w:eastAsia="宋体" w:hAnsi="宋体" w:cs="宋体" w:hint="eastAsia"/>
          <w:color w:val="auto"/>
          <w:sz w:val="24"/>
          <w:szCs w:val="24"/>
        </w:rPr>
        <w:t>各</w:t>
      </w:r>
      <w:proofErr w:type="gramStart"/>
      <w:r w:rsidR="00000000">
        <w:rPr>
          <w:rFonts w:ascii="宋体" w:eastAsia="宋体" w:hAnsi="宋体" w:cs="宋体" w:hint="eastAsia"/>
          <w:color w:val="auto"/>
          <w:sz w:val="24"/>
          <w:szCs w:val="24"/>
        </w:rPr>
        <w:t>类职场人员</w:t>
      </w:r>
      <w:proofErr w:type="gramEnd"/>
    </w:p>
    <w:p w14:paraId="5ED38D62" w14:textId="7FA3E92D" w:rsidR="00952FAB" w:rsidRDefault="00B01248">
      <w:pPr>
        <w:widowControl w:val="0"/>
        <w:snapToGrid w:val="0"/>
        <w:spacing w:line="480" w:lineRule="exact"/>
        <w:textAlignment w:val="auto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方式：</w:t>
      </w:r>
      <w:r w:rsidR="00000000">
        <w:rPr>
          <w:rFonts w:ascii="宋体" w:eastAsia="宋体" w:hAnsi="宋体" w:cs="宋体" w:hint="eastAsia"/>
          <w:color w:val="auto"/>
          <w:sz w:val="24"/>
          <w:szCs w:val="24"/>
        </w:rPr>
        <w:t>讲解、课堂互动、案例分享、实操练习、工具运用、小组讨论</w:t>
      </w:r>
    </w:p>
    <w:p w14:paraId="74E3CE0D" w14:textId="77777777" w:rsidR="00952FAB" w:rsidRDefault="00952FAB">
      <w:pPr>
        <w:spacing w:line="480" w:lineRule="exact"/>
        <w:jc w:val="center"/>
        <w:rPr>
          <w:rFonts w:ascii="宋体" w:eastAsia="宋体" w:hAnsi="宋体" w:cs="宋体" w:hint="eastAsia"/>
          <w:b/>
          <w:color w:val="auto"/>
          <w:sz w:val="24"/>
          <w:szCs w:val="24"/>
        </w:rPr>
      </w:pPr>
    </w:p>
    <w:p w14:paraId="6264C6AD" w14:textId="77777777" w:rsidR="00952FAB" w:rsidRDefault="00000000">
      <w:pPr>
        <w:spacing w:line="480" w:lineRule="exact"/>
        <w:jc w:val="center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课程大纲</w:t>
      </w:r>
    </w:p>
    <w:p w14:paraId="4F26C1B9" w14:textId="1616F01D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第一讲</w:t>
      </w:r>
      <w:r w:rsidR="00B01248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认知重塑：重新界定AI在复杂业务中的应用逻辑</w:t>
      </w:r>
    </w:p>
    <w:p w14:paraId="1CE2BF1C" w14:textId="09063C17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一、剖析AI无法解决复杂管理难题的根源</w:t>
      </w:r>
    </w:p>
    <w:p w14:paraId="41CA5409" w14:textId="77777777" w:rsidR="00952FAB" w:rsidRPr="00B01248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color w:val="auto"/>
          <w:sz w:val="24"/>
          <w:szCs w:val="24"/>
        </w:rPr>
        <w:t>1. 应用模式的认知错位</w:t>
      </w:r>
    </w:p>
    <w:p w14:paraId="0A06C653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1）纠正“搜索引擎式”用法，摒弃关键词检索思维</w:t>
      </w:r>
    </w:p>
    <w:p w14:paraId="40F30497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2）正视通用模型与企业特定场景的天然隔阂</w:t>
      </w:r>
    </w:p>
    <w:p w14:paraId="4603F5AA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3）区分“检索能力”与“创造能力”的边界</w:t>
      </w:r>
    </w:p>
    <w:p w14:paraId="20F44850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4）定位AI为“高算力、弱背景”的辅助分析员</w:t>
      </w:r>
    </w:p>
    <w:p w14:paraId="5686D876" w14:textId="77777777" w:rsidR="00952FAB" w:rsidRPr="00B01248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color w:val="auto"/>
          <w:sz w:val="24"/>
          <w:szCs w:val="24"/>
        </w:rPr>
        <w:t>2. 建立“人机协作”交互机制</w:t>
      </w:r>
    </w:p>
    <w:p w14:paraId="0E2B17F0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1）“信息类”任务：采用直接指令模式提效</w:t>
      </w:r>
    </w:p>
    <w:p w14:paraId="26420956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2）“方案类”任务：严格遵循结构化流程风控</w:t>
      </w:r>
    </w:p>
    <w:p w14:paraId="4E6CF618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3）警示：对无人工干预的“专业方案”保持零信任</w:t>
      </w:r>
    </w:p>
    <w:p w14:paraId="4529C5FE" w14:textId="4F3BF0A2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二、核心工具：“AI思考环”结构化解题框架</w:t>
      </w:r>
    </w:p>
    <w:p w14:paraId="6E9D81DA" w14:textId="77777777" w:rsidR="00952FAB" w:rsidRPr="00B01248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color w:val="auto"/>
          <w:sz w:val="24"/>
          <w:szCs w:val="24"/>
        </w:rPr>
        <w:t>1. 三阶段闭环模型解析</w:t>
      </w:r>
    </w:p>
    <w:p w14:paraId="2B8B8D92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1）阶段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（定义）： 锚定模糊指令，规避方向性错误</w:t>
      </w:r>
    </w:p>
    <w:p w14:paraId="23C2D9CE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2）阶段二（校准）： 解决资源脱节与合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审查难题</w:t>
      </w:r>
    </w:p>
    <w:p w14:paraId="052A7D6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3）阶段三（交付）： 消除交付成果与受众需求的错位</w:t>
      </w:r>
    </w:p>
    <w:p w14:paraId="4A1A3395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4）全流程： 强制注入业务专家经验，掌控生成过程</w:t>
      </w:r>
    </w:p>
    <w:p w14:paraId="6A39C06E" w14:textId="77777777" w:rsidR="00952FAB" w:rsidRPr="00B01248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B01248">
        <w:rPr>
          <w:rFonts w:ascii="宋体" w:eastAsia="宋体" w:hAnsi="宋体" w:cs="宋体" w:hint="eastAsia"/>
          <w:b/>
          <w:color w:val="auto"/>
          <w:sz w:val="24"/>
          <w:szCs w:val="24"/>
        </w:rPr>
        <w:lastRenderedPageBreak/>
        <w:t>2. 基于真实场景的实战准备</w:t>
      </w:r>
    </w:p>
    <w:p w14:paraId="44982BF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1）摒弃模拟练习，选取高不确定性的真实课题</w:t>
      </w:r>
    </w:p>
    <w:p w14:paraId="1CDC04DE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2）聚焦常规手段难以突破的系统性痛点</w:t>
      </w:r>
    </w:p>
    <w:p w14:paraId="3FB37378" w14:textId="77777777" w:rsidR="00952FAB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实战演练：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课题锚定与资源盘点会（15分钟）</w:t>
      </w:r>
    </w:p>
    <w:p w14:paraId="62618C9F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任务：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学员从手头工作中选出1个“老板随口一提，但我挠破头”的方案类任务。填写《项目初始卡》，盘点3项核心家底——预算（有/无）、数据（脏/净）、红线（老板绝不能容忍什么）。</w:t>
      </w:r>
    </w:p>
    <w:p w14:paraId="4B87B393" w14:textId="77777777" w:rsidR="00B01248" w:rsidRDefault="00000000" w:rsidP="00B01248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产出：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一张清晰的“作战地图”，明确今天用AI要攻克的具体山头。</w:t>
      </w:r>
    </w:p>
    <w:p w14:paraId="2F08369E" w14:textId="77777777" w:rsidR="00B01248" w:rsidRDefault="00B01248" w:rsidP="00B01248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6FE2E6FB" w14:textId="40DE5D63" w:rsidR="00952FAB" w:rsidRPr="00B01248" w:rsidRDefault="00000000" w:rsidP="00B01248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第二讲</w:t>
      </w:r>
      <w:r w:rsidR="00706EC5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阶段</w:t>
      </w:r>
      <w:proofErr w:type="gramStart"/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“任务定义”：模糊指令的精确化与目标锁定</w:t>
      </w:r>
    </w:p>
    <w:p w14:paraId="6EC42B75" w14:textId="67DC44BE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：原始信息的非失真记录</w:t>
      </w:r>
    </w:p>
    <w:p w14:paraId="76C42681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遵循客观记录原则</w:t>
      </w:r>
    </w:p>
    <w:p w14:paraId="5E061E92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1）克服接收瞬间的主观解读惯性</w:t>
      </w:r>
    </w:p>
    <w:p w14:paraId="2BCF9CAF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2）全量转录原始指令，杜绝二次加工</w:t>
      </w:r>
    </w:p>
    <w:p w14:paraId="56BAB0A7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3）建立追溯锚点，确保需求零偏差</w:t>
      </w:r>
    </w:p>
    <w:p w14:paraId="5317D0A8" w14:textId="0846163A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动作二：基于逻辑推理的意图分析</w:t>
      </w:r>
    </w:p>
    <w:p w14:paraId="53AC9CA4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从“被动询问”转向“主动提案”</w:t>
      </w:r>
    </w:p>
    <w:p w14:paraId="200210BA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1）摒弃无效询问，采用提案式沟通</w:t>
      </w:r>
    </w:p>
    <w:p w14:paraId="0A487E8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2）利用AI构建多维度的逻辑假设选项</w:t>
      </w:r>
    </w:p>
    <w:p w14:paraId="1A2B8592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2. 构建多层级决策假设</w:t>
      </w:r>
    </w:p>
    <w:p w14:paraId="12AFFB2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1）上策（变革型）： 聚焦架构调整，适用高风险收益场景</w:t>
      </w:r>
    </w:p>
    <w:p w14:paraId="04438541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2）中策（优化型）： 聚焦流程修补，适用稳健运营场景</w:t>
      </w:r>
    </w:p>
    <w:p w14:paraId="2D5BBFE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3）下策（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速赢型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）： 聚焦短期痛点，适用时间紧迫场景</w:t>
      </w:r>
    </w:p>
    <w:p w14:paraId="33DE61C7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4）应用： 结合业务现状初步筛选可行方向</w:t>
      </w:r>
    </w:p>
    <w:p w14:paraId="7559ED1A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微实操：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意图“快闪”练习（5分钟）</w:t>
      </w:r>
    </w:p>
    <w:p w14:paraId="15E9E82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动作：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打开AI，输入“万能提示词”，针对自己的课题，让AI生成上中下三策。只看AI猜得准不准，如果不准，立刻补充一条背景信息再让它猜，直到出现“靠谱”的选项。</w:t>
      </w:r>
    </w:p>
    <w:p w14:paraId="497C9ED9" w14:textId="03CF6373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动作三：战略对齐与书面确认</w:t>
      </w:r>
    </w:p>
    <w:p w14:paraId="4CE6D3E2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实施专业化反向确认</w:t>
      </w:r>
    </w:p>
    <w:p w14:paraId="4E5B51E7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1）AI生成汇报话术，转化推测为建议方案</w:t>
      </w:r>
    </w:p>
    <w:p w14:paraId="2061EBBA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lastRenderedPageBreak/>
        <w:t>2）清晰陈述理解与方向，寻求封闭式确认</w:t>
      </w:r>
    </w:p>
    <w:p w14:paraId="679D0C1E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3）锁定核心目标，前置规避方向性风险</w:t>
      </w:r>
    </w:p>
    <w:p w14:paraId="0EE6DB07" w14:textId="77777777" w:rsidR="00952FAB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实战演练：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“读心术”汇报演练（20分钟）</w:t>
      </w:r>
    </w:p>
    <w:p w14:paraId="496D663F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任务：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从刚才微实操生成的三个策略中，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勾选一个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最符合老板最近心情的。指令AI：“我选定策略X，请帮我写一段发给微信的汇报草稿，语气要谦虚但专业，暗示这个方向最稳妥。同桌之间互换角色（扮演老板），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看收到这条微信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是否会回“OK”。</w:t>
      </w:r>
    </w:p>
    <w:p w14:paraId="5F2F4AC4" w14:textId="77777777" w:rsidR="00706EC5" w:rsidRDefault="00000000" w:rsidP="00706EC5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 xml:space="preserve">产出： 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一条高情商、高通过率的《目标确认函》。</w:t>
      </w:r>
    </w:p>
    <w:p w14:paraId="1CAC237E" w14:textId="77777777" w:rsidR="00706EC5" w:rsidRDefault="00706EC5" w:rsidP="00706EC5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0693CD8F" w14:textId="601891F7" w:rsidR="00952FAB" w:rsidRPr="00706EC5" w:rsidRDefault="00000000" w:rsidP="00706EC5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第三</w:t>
      </w:r>
      <w:r w:rsidR="00706EC5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阶段二“方案校准”：基于资源约束的可行性验证</w:t>
      </w:r>
    </w:p>
    <w:p w14:paraId="6F41A12A" w14:textId="2C3628BE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：识别初步方案局限性</w:t>
      </w:r>
    </w:p>
    <w:p w14:paraId="43D0CDA1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认知“理论完美陷阱”</w:t>
      </w:r>
    </w:p>
    <w:p w14:paraId="3C6D7F9E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1）警惕方案逻辑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自洽但脱离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实际的假象</w:t>
      </w:r>
    </w:p>
    <w:p w14:paraId="4FC599FA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2）识别理想配置与企业现实资源的巨大鸿沟</w:t>
      </w:r>
    </w:p>
    <w:p w14:paraId="6AB0F3E5" w14:textId="34C5C655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动作二：HR版“4M1E”模型深度审查</w:t>
      </w:r>
    </w:p>
    <w:p w14:paraId="21897D7F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法（Method）：合</w:t>
      </w:r>
      <w:proofErr w:type="gramStart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规</w:t>
      </w:r>
      <w:proofErr w:type="gramEnd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红线审查</w:t>
      </w:r>
    </w:p>
    <w:p w14:paraId="32A03AC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1）严查违反劳动法规条款（如不合</w:t>
      </w:r>
      <w:proofErr w:type="gramStart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裁员）</w:t>
      </w:r>
    </w:p>
    <w:p w14:paraId="47FC466D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2）核对公司制度、薪酬保密及审批红线</w:t>
      </w:r>
    </w:p>
    <w:p w14:paraId="3426A4C8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3）触犯红线即“一票否决”，强制修正</w:t>
      </w:r>
    </w:p>
    <w:p w14:paraId="498C56AF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2. 料（Material）：数据与安全审查</w:t>
      </w:r>
    </w:p>
    <w:p w14:paraId="27E66319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1）评估数据源支撑能力，规避“无米之炊”</w:t>
      </w:r>
    </w:p>
    <w:p w14:paraId="4C7482A9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2）核查现有数据质量，确认分析可行性</w:t>
      </w:r>
    </w:p>
    <w:p w14:paraId="2CC5594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3）严禁输入薪酬明细等敏感隐私数据</w:t>
      </w:r>
    </w:p>
    <w:p w14:paraId="29FF9286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4）数据缺失时，指令转为“定性分析”模式</w:t>
      </w:r>
    </w:p>
    <w:p w14:paraId="4CA4F752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3. 人（Man）：能力匹配审查</w:t>
      </w:r>
    </w:p>
    <w:p w14:paraId="6FB0DA0E" w14:textId="22568565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1）评估团队是否具备高阶执行技能（如建模）</w:t>
      </w:r>
    </w:p>
    <w:p w14:paraId="6EAA400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2）评估人力负荷可行性，确保资源可得</w:t>
      </w:r>
    </w:p>
    <w:p w14:paraId="1467FB08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3）能力不足时，指令简化项目难度</w:t>
      </w:r>
    </w:p>
    <w:p w14:paraId="74162052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4. 机（Machine）：系统支持审查</w:t>
      </w:r>
    </w:p>
    <w:p w14:paraId="0FE2CF65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1）确认现有IT系统是否支持落地路径</w:t>
      </w:r>
    </w:p>
    <w:p w14:paraId="0B3B14DC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2）无预算支持时，降级为手工操作模式</w:t>
      </w:r>
    </w:p>
    <w:p w14:paraId="749BF41D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lastRenderedPageBreak/>
        <w:t>5. 环（Environment）：时机适配审查</w:t>
      </w:r>
    </w:p>
    <w:p w14:paraId="1DF10595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1）规避与业务冲刺期的节奏冲突</w:t>
      </w:r>
    </w:p>
    <w:p w14:paraId="426FE126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2）确保管理导向契合当前企业文化</w:t>
      </w:r>
    </w:p>
    <w:p w14:paraId="591D353C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微实操：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“红笔找茬”速写（5分钟）</w:t>
      </w:r>
    </w:p>
    <w:p w14:paraId="5090351C" w14:textId="6C483759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任务：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让AI生成第一版方案（别细看），立刻用红笔（或电脑高亮）在方案里圈出3个“根本做不到”的地方，并标注是“缺人”、“缺钱”还是“违规”。</w:t>
      </w:r>
    </w:p>
    <w:p w14:paraId="475245BE" w14:textId="2980525C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动作三：迭代反馈与方案定稿</w:t>
      </w:r>
    </w:p>
    <w:p w14:paraId="3A4A6A4F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基于约束的指令修正</w:t>
      </w:r>
    </w:p>
    <w:p w14:paraId="53DD1BD6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1）将具体障碍转化为明确的负向反馈指令</w:t>
      </w:r>
    </w:p>
    <w:p w14:paraId="6481B0FD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2）强制AI输出“低成本版”或“简化版”方案</w:t>
      </w:r>
    </w:p>
    <w:p w14:paraId="5E6FC85A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3）循环验证直至执行步骤完全闭环</w:t>
      </w:r>
    </w:p>
    <w:p w14:paraId="01661ADD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实战演练：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极限施压与方案落地会（30分钟）</w:t>
      </w:r>
    </w:p>
    <w:p w14:paraId="45212E8E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施压：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将刚才圈出的3个死穴喂给AI：“你的方案我有三点做不到（具体列出），请基于此给我出第二版。”</w:t>
      </w:r>
    </w:p>
    <w:p w14:paraId="2503E61D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 xml:space="preserve">追问： 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如果AI改得还不够彻底（比如还需要买系统），继续追加指令：“不仅要不用系统，还要能用Excel完成，给我第三版。”</w:t>
      </w:r>
    </w:p>
    <w:p w14:paraId="219FB463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定稿：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直到你看到方案，心里敢说“这个我明天就能发给团队去干”。</w:t>
      </w:r>
    </w:p>
    <w:p w14:paraId="0621214B" w14:textId="77777777" w:rsidR="00706EC5" w:rsidRDefault="00000000" w:rsidP="00706EC5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产出：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 xml:space="preserve"> 一份经得起推敲的《落地执行SOP》或《合规实施方案》。</w:t>
      </w:r>
    </w:p>
    <w:p w14:paraId="62CC9B8B" w14:textId="77777777" w:rsidR="00706EC5" w:rsidRDefault="00706EC5" w:rsidP="00706EC5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4C04DD08" w14:textId="3FF6131C" w:rsidR="00952FAB" w:rsidRPr="00706EC5" w:rsidRDefault="00000000" w:rsidP="00706EC5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第四讲</w:t>
      </w:r>
      <w:r w:rsidR="00706EC5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阶段三“价值交付”：成果转化与知识沉淀</w:t>
      </w:r>
    </w:p>
    <w:p w14:paraId="71A06208" w14:textId="5E47DD35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：严谨性核查与逻辑校验</w:t>
      </w:r>
    </w:p>
    <w:p w14:paraId="30DDBCDA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事实性信息源头验证</w:t>
      </w:r>
    </w:p>
    <w:p w14:paraId="45A2B90F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1）人工溯源法律条款与对标数据，纠正幻觉</w:t>
      </w:r>
    </w:p>
    <w:p w14:paraId="0EA24154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2）验证引用标准的时效性与准确性</w:t>
      </w:r>
    </w:p>
    <w:p w14:paraId="01B0F4EF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2. 逻辑</w:t>
      </w:r>
      <w:proofErr w:type="gramStart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内洽性</w:t>
      </w:r>
      <w:proofErr w:type="gramEnd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检查</w:t>
      </w:r>
    </w:p>
    <w:p w14:paraId="7CB117E3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1）剔除目标与手段的前后矛盾</w:t>
      </w:r>
    </w:p>
    <w:p w14:paraId="30EE5FF8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2）确保投入产出逻辑合理闭环</w:t>
      </w:r>
    </w:p>
    <w:p w14:paraId="43E48B47" w14:textId="05FE1166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动作二：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基于受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众的差异化表达</w:t>
      </w:r>
    </w:p>
    <w:p w14:paraId="31C008FF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面向决策层：决策摘要模式</w:t>
      </w:r>
    </w:p>
    <w:p w14:paraId="2F25EF30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1）剔除过程细节，聚焦结果与风险</w:t>
      </w:r>
    </w:p>
    <w:p w14:paraId="5D55C207" w14:textId="7EEE330B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lastRenderedPageBreak/>
        <w:t>2）核心呈现ROI（投入产出比）与关键里程碑</w:t>
      </w:r>
    </w:p>
    <w:p w14:paraId="3E016C39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3）指令生成“一页纸”高层汇报版</w:t>
      </w:r>
    </w:p>
    <w:p w14:paraId="57A18CD7" w14:textId="77777777" w:rsidR="00952FAB" w:rsidRPr="00886C1B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886C1B">
        <w:rPr>
          <w:rFonts w:ascii="宋体" w:eastAsia="宋体" w:hAnsi="宋体" w:cs="宋体" w:hint="eastAsia"/>
          <w:b/>
          <w:color w:val="auto"/>
          <w:sz w:val="24"/>
          <w:szCs w:val="24"/>
        </w:rPr>
        <w:t>2. 面向执行层：操作指南模式</w:t>
      </w:r>
    </w:p>
    <w:p w14:paraId="6BA4EE8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1）转化管理语言为用户实操语言</w:t>
      </w:r>
    </w:p>
    <w:p w14:paraId="31602D8D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2）明确操作步骤、利益点及避坑点</w:t>
      </w:r>
    </w:p>
    <w:p w14:paraId="51C05928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3）指令生成手册或问答指南版</w:t>
      </w:r>
    </w:p>
    <w:p w14:paraId="5B2932B0" w14:textId="132927A8" w:rsidR="00952FAB" w:rsidRDefault="00000000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动作三：经验固化与持续优化</w:t>
      </w:r>
    </w:p>
    <w:p w14:paraId="568A7E00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1. 优质提示</w:t>
      </w:r>
      <w:proofErr w:type="gramStart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词资产</w:t>
      </w:r>
      <w:proofErr w:type="gramEnd"/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化</w:t>
      </w:r>
    </w:p>
    <w:p w14:paraId="1A10ADB4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1）标准化存档有效指令与逻辑结构</w:t>
      </w:r>
    </w:p>
    <w:p w14:paraId="0CE494DB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2）建立共享词库，复用成功经验</w:t>
      </w:r>
    </w:p>
    <w:p w14:paraId="382F4D75" w14:textId="77777777" w:rsidR="00952FAB" w:rsidRPr="00706EC5" w:rsidRDefault="00000000">
      <w:pPr>
        <w:spacing w:line="480" w:lineRule="exact"/>
        <w:rPr>
          <w:rFonts w:ascii="宋体" w:eastAsia="宋体" w:hAnsi="宋体" w:cs="宋体" w:hint="eastAsia"/>
          <w:b/>
          <w:color w:val="auto"/>
          <w:sz w:val="24"/>
          <w:szCs w:val="24"/>
        </w:rPr>
      </w:pPr>
      <w:r w:rsidRPr="00706EC5">
        <w:rPr>
          <w:rFonts w:ascii="宋体" w:eastAsia="宋体" w:hAnsi="宋体" w:cs="宋体" w:hint="eastAsia"/>
          <w:b/>
          <w:color w:val="auto"/>
          <w:sz w:val="24"/>
          <w:szCs w:val="24"/>
        </w:rPr>
        <w:t>2. 复盘机制与闭环</w:t>
      </w:r>
    </w:p>
    <w:p w14:paraId="09BB4851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1）回溯偏差根源（意图定义vs方案校准）</w:t>
      </w:r>
    </w:p>
    <w:p w14:paraId="70D1F17D" w14:textId="77777777" w:rsidR="00952FAB" w:rsidRDefault="00000000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Cs/>
          <w:color w:val="auto"/>
          <w:sz w:val="24"/>
          <w:szCs w:val="24"/>
        </w:rPr>
        <w:t>2）反馈结论至下一轮定义阶段，螺旋上升</w:t>
      </w:r>
    </w:p>
    <w:p w14:paraId="412A2CBD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实战演练：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“双面间谍”交付挑战（25分钟）</w:t>
      </w:r>
    </w:p>
    <w:p w14:paraId="0A0330E5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背景：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同一个方案，要卖给两个利益冲突的人（老板和员工），这是HR最难的时刻。</w:t>
      </w:r>
    </w:p>
    <w:p w14:paraId="377779B0" w14:textId="77777777" w:rsidR="00952FAB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动作：</w:t>
      </w:r>
    </w:p>
    <w:p w14:paraId="7D842D20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向上汇报：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指令AI将定稿方案浓缩为300字的“电梯汇报稿”，只谈钱、风险和结果。</w:t>
      </w:r>
    </w:p>
    <w:p w14:paraId="52C41CCF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向下宣贯：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指令AI将同一方案改写为“全员通知”，把管理语言翻译成“用户权益”，加粗“怎么做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不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扣钱”。</w:t>
      </w:r>
    </w:p>
    <w:p w14:paraId="48921886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对比：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并在屏幕上左右分屏展示这两份文档，感受“受众翻译”的威力。</w:t>
      </w:r>
    </w:p>
    <w:p w14:paraId="27C3B907" w14:textId="77777777" w:rsidR="00952FAB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产出：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一套《双向交付文档包》（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含决策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摘要+实操手册）。</w:t>
      </w:r>
    </w:p>
    <w:p w14:paraId="1A9E0E0C" w14:textId="77777777" w:rsidR="00952FAB" w:rsidRDefault="00952FAB">
      <w:pPr>
        <w:spacing w:line="480" w:lineRule="exact"/>
        <w:rPr>
          <w:rFonts w:ascii="宋体" w:eastAsia="宋体" w:hAnsi="宋体" w:cs="宋体" w:hint="eastAsia"/>
          <w:bCs/>
          <w:color w:val="auto"/>
          <w:sz w:val="24"/>
          <w:szCs w:val="24"/>
        </w:rPr>
      </w:pPr>
    </w:p>
    <w:sectPr w:rsidR="00952FAB">
      <w:pgSz w:w="11906" w:h="16838"/>
      <w:pgMar w:top="1134" w:right="1134" w:bottom="1134" w:left="1134" w:header="13" w:footer="13" w:gutter="0"/>
      <w:cols w:space="0"/>
      <w:docGrid w:type="lines"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0001"/>
    <w:multiLevelType w:val="singleLevel"/>
    <w:tmpl w:val="20000001"/>
    <w:lvl w:ilvl="0">
      <w:start w:val="1"/>
      <w:numFmt w:val="decimal"/>
      <w:pStyle w:val="CodeBlock"/>
      <w:suff w:val="space"/>
      <w:lvlText w:val="%1 "/>
      <w:lvlJc w:val="right"/>
      <w:rPr>
        <w:rFonts w:ascii="微软雅黑" w:eastAsia="微软雅黑" w:hAnsi="微软雅黑" w:cs="微软雅黑"/>
        <w:color w:val="C0C6CF"/>
        <w:sz w:val="16"/>
      </w:rPr>
    </w:lvl>
  </w:abstractNum>
  <w:num w:numId="1" w16cid:durableId="148538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FAB"/>
    <w:rsid w:val="00457F1C"/>
    <w:rsid w:val="00706EC5"/>
    <w:rsid w:val="007D07D8"/>
    <w:rsid w:val="00886C1B"/>
    <w:rsid w:val="00952FAB"/>
    <w:rsid w:val="00B01248"/>
    <w:rsid w:val="02D260A3"/>
    <w:rsid w:val="0C4E3ABC"/>
    <w:rsid w:val="1C5046FF"/>
    <w:rsid w:val="1C9B2894"/>
    <w:rsid w:val="3499385D"/>
    <w:rsid w:val="3F392EA7"/>
    <w:rsid w:val="44DA759D"/>
    <w:rsid w:val="46F93BF0"/>
    <w:rsid w:val="50720257"/>
    <w:rsid w:val="56217D83"/>
    <w:rsid w:val="5D46020A"/>
    <w:rsid w:val="61794281"/>
    <w:rsid w:val="635F53E5"/>
    <w:rsid w:val="68700AA2"/>
    <w:rsid w:val="6BE61A07"/>
    <w:rsid w:val="6D4346E0"/>
    <w:rsid w:val="6E5E743D"/>
    <w:rsid w:val="794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B952"/>
  <w15:docId w15:val="{F1147712-6F78-4CC9-854A-C50247E3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extAlignment w:val="baseline"/>
    </w:pPr>
    <w:rPr>
      <w:rFonts w:ascii="微软雅黑" w:eastAsia="微软雅黑" w:hAnsi="微软雅黑" w:cs="微软雅黑"/>
      <w:color w:val="080F17"/>
      <w:sz w:val="22"/>
    </w:rPr>
  </w:style>
  <w:style w:type="paragraph" w:styleId="1">
    <w:name w:val="heading 1"/>
    <w:basedOn w:val="a"/>
    <w:qFormat/>
    <w:pPr>
      <w:spacing w:before="390" w:after="120" w:line="634" w:lineRule="exact"/>
      <w:outlineLvl w:val="0"/>
    </w:pPr>
    <w:rPr>
      <w:b/>
      <w:sz w:val="38"/>
    </w:rPr>
  </w:style>
  <w:style w:type="paragraph" w:styleId="2">
    <w:name w:val="heading 2"/>
    <w:basedOn w:val="a"/>
    <w:qFormat/>
    <w:pPr>
      <w:spacing w:before="330" w:after="120" w:line="536" w:lineRule="exact"/>
      <w:outlineLvl w:val="1"/>
    </w:pPr>
    <w:rPr>
      <w:b/>
      <w:sz w:val="32"/>
    </w:rPr>
  </w:style>
  <w:style w:type="paragraph" w:styleId="3">
    <w:name w:val="heading 3"/>
    <w:basedOn w:val="a"/>
    <w:qFormat/>
    <w:pPr>
      <w:spacing w:before="300" w:after="120" w:line="488" w:lineRule="exact"/>
      <w:outlineLvl w:val="2"/>
    </w:pPr>
    <w:rPr>
      <w:b/>
      <w:sz w:val="30"/>
    </w:rPr>
  </w:style>
  <w:style w:type="paragraph" w:styleId="4">
    <w:name w:val="heading 4"/>
    <w:basedOn w:val="a"/>
    <w:qFormat/>
    <w:pPr>
      <w:spacing w:before="270" w:after="120" w:line="439" w:lineRule="exact"/>
      <w:outlineLvl w:val="3"/>
    </w:pPr>
    <w:rPr>
      <w:b/>
      <w:sz w:val="26"/>
    </w:rPr>
  </w:style>
  <w:style w:type="paragraph" w:styleId="5">
    <w:name w:val="heading 5"/>
    <w:basedOn w:val="a"/>
    <w:qFormat/>
    <w:pPr>
      <w:spacing w:before="240" w:after="120" w:line="390" w:lineRule="exact"/>
      <w:outlineLvl w:val="4"/>
    </w:pPr>
    <w:rPr>
      <w:b/>
    </w:rPr>
  </w:style>
  <w:style w:type="paragraph" w:styleId="6">
    <w:name w:val="heading 6"/>
    <w:basedOn w:val="a"/>
    <w:qFormat/>
    <w:pPr>
      <w:spacing w:before="240" w:after="120" w:line="390" w:lineRule="exact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styleId="a4">
    <w:name w:val="Table Grid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qFormat/>
    <w:rPr>
      <w:color w:val="0A6CFF"/>
      <w:u w:val="single" w:color="0A6CFF"/>
    </w:rPr>
  </w:style>
  <w:style w:type="paragraph" w:customStyle="1" w:styleId="MainTitle">
    <w:name w:val="MainTitle"/>
    <w:basedOn w:val="a"/>
    <w:qFormat/>
    <w:pPr>
      <w:pBdr>
        <w:bottom w:val="single" w:sz="6" w:space="5" w:color="E2E6ED"/>
      </w:pBdr>
      <w:spacing w:before="180" w:after="480" w:line="780" w:lineRule="exact"/>
    </w:pPr>
    <w:rPr>
      <w:b/>
      <w:sz w:val="44"/>
    </w:rPr>
  </w:style>
  <w:style w:type="character" w:customStyle="1" w:styleId="DateTime">
    <w:name w:val="DateTime"/>
    <w:qFormat/>
    <w:rPr>
      <w:color w:val="0A6CFF"/>
    </w:rPr>
  </w:style>
  <w:style w:type="paragraph" w:customStyle="1" w:styleId="Blockquote">
    <w:name w:val="Blockquote"/>
    <w:basedOn w:val="a"/>
    <w:qFormat/>
    <w:pPr>
      <w:pBdr>
        <w:left w:val="single" w:sz="36" w:space="12" w:color="E2E6ED"/>
      </w:pBdr>
      <w:ind w:left="330"/>
    </w:pPr>
    <w:rPr>
      <w:color w:val="767C85"/>
    </w:rPr>
  </w:style>
  <w:style w:type="character" w:customStyle="1" w:styleId="Code">
    <w:name w:val="Code"/>
    <w:qFormat/>
    <w:rPr>
      <w:bdr w:val="single" w:sz="6" w:space="0" w:color="E2E6ED"/>
    </w:rPr>
  </w:style>
  <w:style w:type="character" w:customStyle="1" w:styleId="Emoji">
    <w:name w:val="Emoji"/>
    <w:qFormat/>
    <w:rPr>
      <w:rFonts w:ascii="Segoe UI Emoji" w:eastAsia="Segoe UI Emoji" w:hAnsi="Segoe UI Emoji" w:cs="Segoe UI Emoji"/>
    </w:rPr>
  </w:style>
  <w:style w:type="paragraph" w:customStyle="1" w:styleId="CodeBlock">
    <w:name w:val="CodeBlock"/>
    <w:basedOn w:val="a"/>
    <w:qFormat/>
    <w:pPr>
      <w:numPr>
        <w:numId w:val="1"/>
      </w:numPr>
      <w:pBdr>
        <w:top w:val="single" w:sz="6" w:space="8" w:color="E2E6ED"/>
        <w:left w:val="single" w:sz="6" w:space="26" w:color="E2E6ED"/>
        <w:bottom w:val="single" w:sz="6" w:space="8" w:color="E2E6ED"/>
        <w:right w:val="single" w:sz="6" w:space="0" w:color="E2E6ED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HighlightBlock">
    <w:name w:val="HighlightBlock"/>
    <w:qFormat/>
    <w:tblPr>
      <w:tblBorders>
        <w:top w:val="single" w:sz="6" w:space="0" w:color="FEC794"/>
        <w:left w:val="single" w:sz="6" w:space="0" w:color="FEC794"/>
        <w:bottom w:val="single" w:sz="6" w:space="0" w:color="FEC794"/>
        <w:right w:val="single" w:sz="6" w:space="0" w:color="FEC794"/>
        <w:insideH w:val="single" w:sz="6" w:space="0" w:color="FEC794"/>
        <w:insideV w:val="single" w:sz="6" w:space="0" w:color="FEC7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perate">
    <w:name w:val="Seperate"/>
    <w:basedOn w:val="a"/>
    <w:qFormat/>
    <w:pPr>
      <w:spacing w:line="1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Administrator</cp:lastModifiedBy>
  <cp:revision>3</cp:revision>
  <dcterms:created xsi:type="dcterms:W3CDTF">2025-12-15T16:22:00Z</dcterms:created>
  <dcterms:modified xsi:type="dcterms:W3CDTF">2026-03-17T07:45:00Z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eyJoZGlkIjoiMDllMjU1MjNiZDc5NzQzYmFkNzU3YTFlOGNhZjFhZGQiLCJ1c2VySWQiOiIyOTEwNzgzOTEifQ==</vt:lpwstr>
  </property>
  <property fmtid="{D5CDD505-2E9C-101B-9397-08002B2CF9AE}" pid="4" name="KSOProductBuildVer">
    <vt:lpwstr>2052-12.1.0.25225</vt:lpwstr>
  </property>
  <property fmtid="{D5CDD505-2E9C-101B-9397-08002B2CF9AE}" pid="5" name="ICV">
    <vt:lpwstr>EDA389A454D9429EBCD7C71898C9ABA5_13</vt:lpwstr>
  </property>
</Properties>
</file>