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16CC16">
      <w:pPr>
        <w:spacing w:line="480" w:lineRule="exact"/>
        <w:rPr>
          <w:rFonts w:hint="eastAsia" w:ascii="宋体" w:hAnsi="宋体" w:eastAsia="宋体"/>
          <w:b/>
          <w:bCs/>
          <w:sz w:val="32"/>
          <w:szCs w:val="32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4518660</wp:posOffset>
            </wp:positionH>
            <wp:positionV relativeFrom="paragraph">
              <wp:posOffset>78105</wp:posOffset>
            </wp:positionV>
            <wp:extent cx="1838325" cy="2120265"/>
            <wp:effectExtent l="0" t="0" r="0" b="0"/>
            <wp:wrapNone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39264" cy="212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/>
          <w:b/>
          <w:bCs/>
          <w:sz w:val="32"/>
          <w:szCs w:val="32"/>
        </w:rPr>
        <w:t>苏毅老师  组织发展与人力资源管理专家</w:t>
      </w:r>
    </w:p>
    <w:p w14:paraId="4EA04F51">
      <w:pPr>
        <w:spacing w:line="480" w:lineRule="exact"/>
        <w:rPr>
          <w:rFonts w:hint="eastAsia" w:ascii="宋体" w:hAnsi="宋体" w:eastAsia="宋体"/>
          <w:sz w:val="24"/>
          <w:szCs w:val="24"/>
          <w:highlight w:val="yellow"/>
        </w:rPr>
      </w:pPr>
      <w:r>
        <w:rPr>
          <w:rFonts w:ascii="宋体" w:hAnsi="宋体" w:eastAsia="宋体"/>
          <w:sz w:val="24"/>
          <w:szCs w:val="24"/>
        </w:rPr>
        <w:t>18</w:t>
      </w:r>
      <w:r>
        <w:rPr>
          <w:rFonts w:hint="eastAsia" w:ascii="宋体" w:hAnsi="宋体" w:eastAsia="宋体"/>
          <w:sz w:val="24"/>
          <w:szCs w:val="24"/>
        </w:rPr>
        <w:t>年企业人力资源管理经验</w:t>
      </w:r>
    </w:p>
    <w:p w14:paraId="770FC2C5">
      <w:pPr>
        <w:spacing w:line="480" w:lineRule="exac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加拿大阿尔伯塔大学MBA/北京大学企业管理研究生</w:t>
      </w:r>
    </w:p>
    <w:p w14:paraId="32AFF26F">
      <w:pPr>
        <w:pStyle w:val="6"/>
        <w:spacing w:beforeAutospacing="0" w:afterAutospacing="0" w:line="47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 w:cstheme="minorBidi"/>
          <w:kern w:val="2"/>
        </w:rPr>
        <w:t>中</w:t>
      </w:r>
      <w:r>
        <w:rPr>
          <w:rFonts w:hint="eastAsia" w:ascii="宋体" w:hAnsi="宋体" w:eastAsia="宋体"/>
        </w:rPr>
        <w:t>英双语授课</w:t>
      </w:r>
    </w:p>
    <w:p w14:paraId="22F45156">
      <w:pPr>
        <w:pStyle w:val="6"/>
        <w:spacing w:beforeAutospacing="0" w:afterAutospacing="0" w:line="47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中山大学/武汉大学/厦门大学/同济大学/华南理工大学特邀讲师</w:t>
      </w:r>
    </w:p>
    <w:p w14:paraId="11E10EE3">
      <w:pPr>
        <w:pStyle w:val="6"/>
        <w:spacing w:beforeAutospacing="0" w:afterAutospacing="0" w:line="470" w:lineRule="exact"/>
        <w:rPr>
          <w:rFonts w:hint="eastAsia" w:ascii="宋体" w:hAnsi="宋体" w:eastAsia="宋体" w:cstheme="minorBidi"/>
          <w:kern w:val="2"/>
        </w:rPr>
      </w:pPr>
      <w:r>
        <w:rPr>
          <w:rFonts w:hint="eastAsia" w:ascii="宋体" w:hAnsi="宋体" w:eastAsia="宋体" w:cstheme="minorBidi"/>
          <w:kern w:val="2"/>
        </w:rPr>
        <w:t>微软&amp;领英生成式AI职业官方认证</w:t>
      </w:r>
    </w:p>
    <w:p w14:paraId="0204C840">
      <w:pPr>
        <w:spacing w:line="480" w:lineRule="exac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曾任：</w:t>
      </w:r>
      <w:r>
        <w:rPr>
          <w:rFonts w:hint="eastAsia" w:ascii="宋体" w:hAnsi="宋体" w:eastAsia="宋体"/>
          <w:sz w:val="24"/>
          <w:szCs w:val="24"/>
        </w:rPr>
        <w:t>艾默生网络能源丨大中华区学习发展总经理</w:t>
      </w:r>
    </w:p>
    <w:p w14:paraId="0C82F20E">
      <w:pPr>
        <w:spacing w:line="480" w:lineRule="exac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曾任：</w:t>
      </w:r>
      <w:r>
        <w:rPr>
          <w:rFonts w:hint="eastAsia" w:ascii="宋体" w:hAnsi="宋体" w:eastAsia="宋体"/>
          <w:sz w:val="24"/>
          <w:szCs w:val="24"/>
        </w:rPr>
        <w:t>戴尔</w:t>
      </w:r>
      <w:r>
        <w:rPr>
          <w:rFonts w:hint="eastAsia" w:ascii="宋体" w:hAnsi="宋体" w:eastAsia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/>
          <w:sz w:val="24"/>
          <w:szCs w:val="24"/>
        </w:rPr>
        <w:t>中国</w:t>
      </w:r>
      <w:r>
        <w:rPr>
          <w:rFonts w:hint="eastAsia" w:ascii="宋体" w:hAnsi="宋体" w:eastAsia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/>
          <w:sz w:val="24"/>
          <w:szCs w:val="24"/>
        </w:rPr>
        <w:t>有限公司丨高级人力资源顾问</w:t>
      </w:r>
    </w:p>
    <w:p w14:paraId="168CBC69">
      <w:pPr>
        <w:spacing w:line="480" w:lineRule="exac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曾任：</w:t>
      </w:r>
      <w:r>
        <w:rPr>
          <w:rFonts w:hint="eastAsia" w:ascii="宋体" w:hAnsi="宋体" w:eastAsia="宋体"/>
          <w:sz w:val="24"/>
          <w:szCs w:val="24"/>
        </w:rPr>
        <w:t>广田控股集团（民营5</w:t>
      </w:r>
      <w:r>
        <w:rPr>
          <w:rFonts w:ascii="宋体" w:hAnsi="宋体" w:eastAsia="宋体"/>
          <w:sz w:val="24"/>
          <w:szCs w:val="24"/>
        </w:rPr>
        <w:t>00</w:t>
      </w:r>
      <w:r>
        <w:rPr>
          <w:rFonts w:hint="eastAsia" w:ascii="宋体" w:hAnsi="宋体" w:eastAsia="宋体"/>
          <w:sz w:val="24"/>
          <w:szCs w:val="24"/>
        </w:rPr>
        <w:t>强）丨人力资源总监</w:t>
      </w:r>
    </w:p>
    <w:p w14:paraId="3024D0E4">
      <w:pPr>
        <w:spacing w:line="480" w:lineRule="exac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曾任：</w:t>
      </w:r>
      <w:r>
        <w:rPr>
          <w:rFonts w:hint="eastAsia" w:ascii="宋体" w:hAnsi="宋体" w:eastAsia="宋体"/>
          <w:sz w:val="24"/>
          <w:szCs w:val="24"/>
        </w:rPr>
        <w:t>高德置地集团丨人力文化总经理</w:t>
      </w:r>
    </w:p>
    <w:p w14:paraId="0F6E93BC">
      <w:pPr>
        <w:spacing w:line="480" w:lineRule="exac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曾任：</w:t>
      </w:r>
      <w:r>
        <w:rPr>
          <w:rFonts w:hint="eastAsia" w:ascii="宋体" w:hAnsi="宋体" w:eastAsia="宋体"/>
          <w:sz w:val="24"/>
          <w:szCs w:val="24"/>
        </w:rPr>
        <w:t>致欧科技有限公司（跨境电商上市公司）丨人力资源总监</w:t>
      </w:r>
    </w:p>
    <w:p w14:paraId="20264769">
      <w:pPr>
        <w:spacing w:line="480" w:lineRule="exac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曾任：</w:t>
      </w:r>
      <w:r>
        <w:rPr>
          <w:rFonts w:hint="eastAsia" w:ascii="宋体" w:hAnsi="宋体" w:eastAsia="宋体"/>
          <w:sz w:val="24"/>
          <w:szCs w:val="24"/>
        </w:rPr>
        <w:t>拉拉米科技有限公司（美妆产品跨境头部公司）丨人力资源副总裁</w:t>
      </w:r>
    </w:p>
    <w:p w14:paraId="778E5A80">
      <w:pPr>
        <w:spacing w:line="480" w:lineRule="exac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专业认证：</w:t>
      </w:r>
      <w:r>
        <w:rPr>
          <w:rFonts w:hint="eastAsia" w:ascii="宋体" w:hAnsi="宋体" w:eastAsia="宋体"/>
          <w:sz w:val="24"/>
          <w:szCs w:val="24"/>
        </w:rPr>
        <w:t>国家人力资源管理师认证、美国柯式四级评估培训认证、美国人力资源管理协会专业认证</w:t>
      </w:r>
    </w:p>
    <w:p w14:paraId="2B32D068">
      <w:pPr>
        <w:widowControl/>
        <w:spacing w:line="480" w:lineRule="exact"/>
        <w:jc w:val="lef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版权课程：</w:t>
      </w:r>
      <w:r>
        <w:rPr>
          <w:rFonts w:hint="eastAsia" w:ascii="宋体" w:hAnsi="宋体" w:eastAsia="宋体"/>
          <w:sz w:val="24"/>
          <w:szCs w:val="24"/>
        </w:rPr>
        <w:t>《精准识才：高效招聘实战指南》（登记号：国作登字-2024-A-00071680）、《规模无关，效能有道：因企制宜的识人用人》（登记号：国作登</w:t>
      </w:r>
      <w:bookmarkStart w:id="1" w:name="_GoBack"/>
      <w:bookmarkEnd w:id="1"/>
      <w:r>
        <w:rPr>
          <w:rFonts w:hint="eastAsia" w:ascii="宋体" w:hAnsi="宋体" w:eastAsia="宋体"/>
          <w:sz w:val="24"/>
          <w:szCs w:val="24"/>
        </w:rPr>
        <w:t>字-2024-A-00096889）</w:t>
      </w:r>
    </w:p>
    <w:p w14:paraId="5771F73A">
      <w:pPr>
        <w:widowControl/>
        <w:spacing w:line="480" w:lineRule="exact"/>
        <w:jc w:val="left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擅长领域：</w:t>
      </w:r>
      <w:r>
        <w:rPr>
          <w:rFonts w:hint="eastAsia" w:ascii="宋体" w:hAnsi="宋体" w:eastAsia="宋体"/>
          <w:sz w:val="24"/>
          <w:szCs w:val="24"/>
        </w:rPr>
        <w:t>组织变革、组织能力建设、战略人力资源管理、招聘面试、绩效管理、非人、人才梯队搭建、企业文化建设、培训发展体系建设、OKR设计等</w:t>
      </w:r>
    </w:p>
    <w:p w14:paraId="4A2656EB">
      <w:pPr>
        <w:widowControl/>
        <w:spacing w:line="480" w:lineRule="exact"/>
        <w:jc w:val="left"/>
        <w:rPr>
          <w:rFonts w:hint="eastAsia" w:ascii="宋体" w:hAnsi="宋体" w:eastAsia="宋体"/>
          <w:b/>
          <w:bCs/>
          <w:sz w:val="24"/>
          <w:szCs w:val="24"/>
        </w:rPr>
      </w:pPr>
    </w:p>
    <w:p w14:paraId="3BE14FF6">
      <w:pPr>
        <w:widowControl/>
        <w:spacing w:line="480" w:lineRule="exact"/>
        <w:jc w:val="left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实战经验：</w:t>
      </w:r>
    </w:p>
    <w:p w14:paraId="4DC55AFF">
      <w:pPr>
        <w:widowControl/>
        <w:spacing w:line="480" w:lineRule="exact"/>
        <w:ind w:firstLine="480" w:firstLineChars="200"/>
        <w:jc w:val="left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老师任职</w:t>
      </w:r>
      <w:r>
        <w:rPr>
          <w:rFonts w:hint="eastAsia" w:ascii="宋体" w:hAnsi="宋体" w:eastAsia="宋体"/>
          <w:b/>
          <w:bCs/>
          <w:sz w:val="24"/>
          <w:szCs w:val="24"/>
        </w:rPr>
        <w:t>世界5</w:t>
      </w:r>
      <w:r>
        <w:rPr>
          <w:rFonts w:ascii="宋体" w:hAnsi="宋体" w:eastAsia="宋体"/>
          <w:b/>
          <w:bCs/>
          <w:sz w:val="24"/>
          <w:szCs w:val="24"/>
        </w:rPr>
        <w:t>00</w:t>
      </w:r>
      <w:r>
        <w:rPr>
          <w:rFonts w:hint="eastAsia" w:ascii="宋体" w:hAnsi="宋体" w:eastAsia="宋体"/>
          <w:b/>
          <w:bCs/>
          <w:sz w:val="24"/>
          <w:szCs w:val="24"/>
        </w:rPr>
        <w:t>强</w:t>
      </w:r>
      <w:r>
        <w:rPr>
          <w:rFonts w:ascii="宋体" w:hAnsi="宋体" w:eastAsia="宋体"/>
          <w:b/>
          <w:bCs/>
          <w:sz w:val="24"/>
          <w:szCs w:val="24"/>
        </w:rPr>
        <w:t>10</w:t>
      </w:r>
      <w:r>
        <w:rPr>
          <w:rFonts w:hint="eastAsia" w:ascii="宋体" w:hAnsi="宋体" w:eastAsia="宋体"/>
          <w:b/>
          <w:bCs/>
          <w:sz w:val="24"/>
          <w:szCs w:val="24"/>
        </w:rPr>
        <w:t>年、中国知名民企8年</w:t>
      </w:r>
      <w:r>
        <w:rPr>
          <w:rFonts w:hint="eastAsia" w:ascii="宋体" w:hAnsi="宋体" w:eastAsia="宋体"/>
          <w:sz w:val="24"/>
          <w:szCs w:val="24"/>
        </w:rPr>
        <w:t>的人力资源高管，主导和参与各类大中型企业管理项目工作，具有丰富的领导和管理能力，协助企业多个</w:t>
      </w:r>
      <w:r>
        <w:rPr>
          <w:rFonts w:hint="eastAsia" w:ascii="宋体" w:hAnsi="宋体" w:eastAsia="宋体"/>
          <w:b/>
          <w:bCs/>
          <w:sz w:val="24"/>
          <w:szCs w:val="24"/>
        </w:rPr>
        <w:t>企业IPO项目</w:t>
      </w:r>
      <w:r>
        <w:rPr>
          <w:rFonts w:hint="eastAsia" w:ascii="宋体" w:hAnsi="宋体" w:eastAsia="宋体"/>
          <w:sz w:val="24"/>
          <w:szCs w:val="24"/>
        </w:rPr>
        <w:t>，与</w:t>
      </w:r>
      <w:r>
        <w:rPr>
          <w:rFonts w:hint="eastAsia" w:ascii="宋体" w:hAnsi="宋体" w:eastAsia="宋体"/>
          <w:b/>
          <w:bCs/>
          <w:sz w:val="24"/>
          <w:szCs w:val="24"/>
        </w:rPr>
        <w:t>企业创始人（福布斯排行榜单内）</w:t>
      </w:r>
      <w:r>
        <w:rPr>
          <w:rFonts w:hint="eastAsia" w:ascii="宋体" w:hAnsi="宋体" w:eastAsia="宋体"/>
          <w:sz w:val="24"/>
          <w:szCs w:val="24"/>
        </w:rPr>
        <w:t>积极配合，对</w:t>
      </w:r>
      <w:r>
        <w:rPr>
          <w:rFonts w:hint="eastAsia" w:ascii="宋体" w:hAnsi="宋体" w:eastAsia="宋体"/>
          <w:b/>
          <w:bCs/>
          <w:sz w:val="24"/>
          <w:szCs w:val="24"/>
        </w:rPr>
        <w:t>全集团及几十家分子公司</w:t>
      </w:r>
      <w:r>
        <w:rPr>
          <w:rFonts w:hint="eastAsia" w:ascii="宋体" w:hAnsi="宋体" w:eastAsia="宋体"/>
          <w:sz w:val="24"/>
          <w:szCs w:val="24"/>
        </w:rPr>
        <w:t>的经营管理进行升级，</w:t>
      </w:r>
      <w:r>
        <w:rPr>
          <w:rFonts w:hint="eastAsia" w:ascii="宋体" w:hAnsi="宋体" w:eastAsia="宋体"/>
          <w:b/>
          <w:bCs/>
          <w:sz w:val="24"/>
          <w:szCs w:val="24"/>
        </w:rPr>
        <w:t>直接管理8家不同行业</w:t>
      </w:r>
      <w:r>
        <w:rPr>
          <w:rFonts w:hint="eastAsia" w:ascii="宋体" w:hAnsi="宋体" w:eastAsia="宋体"/>
          <w:sz w:val="24"/>
          <w:szCs w:val="24"/>
        </w:rPr>
        <w:t>的子公司的人力资源整体工作，并指导初创企业的筹备与经营工作，具有</w:t>
      </w:r>
      <w:r>
        <w:rPr>
          <w:rFonts w:hint="eastAsia" w:ascii="宋体" w:hAnsi="宋体" w:eastAsia="宋体"/>
          <w:b/>
          <w:bCs/>
          <w:sz w:val="24"/>
          <w:szCs w:val="24"/>
        </w:rPr>
        <w:t>人力资源全领域</w:t>
      </w:r>
      <w:r>
        <w:rPr>
          <w:rFonts w:hint="eastAsia" w:ascii="宋体" w:hAnsi="宋体" w:eastAsia="宋体"/>
          <w:sz w:val="24"/>
          <w:szCs w:val="24"/>
        </w:rPr>
        <w:t>的专业能力，曾亲历</w:t>
      </w:r>
      <w:r>
        <w:rPr>
          <w:rFonts w:hint="eastAsia" w:ascii="宋体" w:hAnsi="宋体" w:eastAsia="宋体"/>
          <w:b/>
          <w:bCs/>
          <w:sz w:val="24"/>
          <w:szCs w:val="24"/>
        </w:rPr>
        <w:t>业务转型、跨国并购背景下的人力资源整合管理</w:t>
      </w:r>
      <w:r>
        <w:rPr>
          <w:rFonts w:hint="eastAsia" w:ascii="宋体" w:hAnsi="宋体" w:eastAsia="宋体"/>
          <w:sz w:val="24"/>
          <w:szCs w:val="24"/>
        </w:rPr>
        <w:t>，与</w:t>
      </w:r>
      <w:r>
        <w:rPr>
          <w:rFonts w:hint="eastAsia" w:ascii="宋体" w:hAnsi="宋体" w:eastAsia="宋体"/>
          <w:b/>
          <w:bCs/>
          <w:sz w:val="24"/>
          <w:szCs w:val="24"/>
        </w:rPr>
        <w:t>光辉合益（世界顶级人力资源咨询公司）、安永（四大会计师事务所）</w:t>
      </w:r>
      <w:r>
        <w:rPr>
          <w:rFonts w:hint="eastAsia" w:ascii="宋体" w:hAnsi="宋体" w:eastAsia="宋体"/>
          <w:sz w:val="24"/>
          <w:szCs w:val="24"/>
        </w:rPr>
        <w:t>等知名公司合作，并服务多家名企，优化组织结构、建设人才梯队、节约用人成本等，对于不同模式下的管理之道有独特见解，老师特点是</w:t>
      </w:r>
      <w:r>
        <w:rPr>
          <w:rFonts w:hint="eastAsia" w:ascii="宋体" w:hAnsi="宋体" w:eastAsia="宋体"/>
          <w:b/>
          <w:bCs/>
          <w:sz w:val="24"/>
          <w:szCs w:val="24"/>
        </w:rPr>
        <w:t>见识过世面、建立过系统，能抬头看天，低头走路，结伴同行。</w:t>
      </w:r>
    </w:p>
    <w:p w14:paraId="2740BF2E">
      <w:pPr>
        <w:spacing w:line="480" w:lineRule="exact"/>
        <w:rPr>
          <w:rFonts w:hint="eastAsia" w:ascii="宋体" w:hAnsi="宋体" w:eastAsia="宋体"/>
          <w:b/>
          <w:bCs/>
          <w:color w:val="C00000"/>
          <w:sz w:val="24"/>
          <w:szCs w:val="24"/>
          <w:u w:val="single"/>
        </w:rPr>
      </w:pPr>
      <w:r>
        <w:rPr>
          <w:rFonts w:hint="eastAsia" w:ascii="宋体" w:hAnsi="宋体" w:eastAsia="宋体"/>
          <w:b/>
          <w:bCs/>
          <w:color w:val="C00000"/>
          <w:sz w:val="24"/>
          <w:szCs w:val="24"/>
          <w:u w:val="single"/>
        </w:rPr>
        <w:t>曾任致欧科技公司人力资源总监</w:t>
      </w:r>
    </w:p>
    <w:p w14:paraId="79F319AE">
      <w:pPr>
        <w:spacing w:line="480" w:lineRule="exac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——</w:t>
      </w:r>
      <w:r>
        <w:rPr>
          <w:rFonts w:hint="eastAsia" w:ascii="宋体" w:hAnsi="宋体" w:eastAsia="宋体"/>
          <w:b/>
          <w:bCs/>
          <w:sz w:val="24"/>
          <w:szCs w:val="24"/>
        </w:rPr>
        <w:t>组织变革，</w:t>
      </w:r>
      <w:r>
        <w:rPr>
          <w:rFonts w:hint="eastAsia" w:ascii="宋体" w:hAnsi="宋体" w:eastAsia="宋体"/>
          <w:sz w:val="24"/>
          <w:szCs w:val="24"/>
        </w:rPr>
        <w:t>对公司流程和组织架构进行梳理，对整体架构调整为产品和市场为主的矩阵式架构，并在组织中设立</w:t>
      </w:r>
      <w:r>
        <w:rPr>
          <w:rFonts w:hint="eastAsia" w:ascii="宋体" w:hAnsi="宋体" w:eastAsia="宋体"/>
          <w:b/>
          <w:bCs/>
          <w:sz w:val="24"/>
          <w:szCs w:val="24"/>
        </w:rPr>
        <w:t>业务三支柱的内部协同机制</w:t>
      </w:r>
      <w:r>
        <w:rPr>
          <w:rFonts w:hint="eastAsia" w:ascii="宋体" w:hAnsi="宋体" w:eastAsia="宋体"/>
          <w:sz w:val="24"/>
          <w:szCs w:val="24"/>
        </w:rPr>
        <w:t>；</w:t>
      </w:r>
      <w:r>
        <w:rPr>
          <w:rFonts w:hint="eastAsia" w:ascii="宋体" w:hAnsi="宋体" w:eastAsia="宋体"/>
          <w:b/>
          <w:bCs/>
          <w:sz w:val="24"/>
          <w:szCs w:val="24"/>
        </w:rPr>
        <w:t>推行OKR目标管理体系，</w:t>
      </w:r>
      <w:r>
        <w:rPr>
          <w:rFonts w:hint="eastAsia" w:ascii="宋体" w:hAnsi="宋体" w:eastAsia="宋体"/>
          <w:sz w:val="24"/>
          <w:szCs w:val="24"/>
        </w:rPr>
        <w:t>全面负责飞书落地项目，形成公开透明，协同合作的工作机制；</w:t>
      </w:r>
      <w:r>
        <w:rPr>
          <w:rFonts w:hint="eastAsia" w:ascii="宋体" w:hAnsi="宋体" w:eastAsia="宋体"/>
          <w:b/>
          <w:bCs/>
          <w:sz w:val="24"/>
          <w:szCs w:val="24"/>
        </w:rPr>
        <w:t>推行会议管理机制</w:t>
      </w:r>
      <w:r>
        <w:rPr>
          <w:rFonts w:hint="eastAsia" w:ascii="宋体" w:hAnsi="宋体" w:eastAsia="宋体"/>
          <w:sz w:val="24"/>
          <w:szCs w:val="24"/>
        </w:rPr>
        <w:t>，提高会议协同效率</w:t>
      </w:r>
    </w:p>
    <w:p w14:paraId="7E2D1D78">
      <w:pPr>
        <w:spacing w:line="480" w:lineRule="exac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；</w:t>
      </w:r>
      <w:r>
        <w:rPr>
          <w:rFonts w:hint="eastAsia" w:ascii="宋体" w:hAnsi="宋体" w:eastAsia="宋体"/>
          <w:b/>
          <w:bCs/>
          <w:sz w:val="24"/>
          <w:szCs w:val="24"/>
        </w:rPr>
        <w:t>从0 开始搭建人力三支柱模型，</w:t>
      </w:r>
      <w:r>
        <w:rPr>
          <w:rFonts w:hint="eastAsia" w:ascii="宋体" w:hAnsi="宋体" w:eastAsia="宋体"/>
          <w:sz w:val="24"/>
          <w:szCs w:val="24"/>
        </w:rPr>
        <w:t>通过几个月的运作，基本形成稳定的运作方式，逐步满足业务需求；将原有P和M职级体系进行调整，统一为单一体系，提升组织内的人才晋升效率；招聘体系全流程进行细化处理，形成傻瓜式的操作规范，提高工作效率，</w:t>
      </w:r>
      <w:r>
        <w:rPr>
          <w:rFonts w:hint="eastAsia" w:ascii="宋体" w:hAnsi="宋体" w:eastAsia="宋体"/>
          <w:b/>
          <w:bCs/>
          <w:sz w:val="24"/>
          <w:szCs w:val="24"/>
        </w:rPr>
        <w:t>并招聘到超过10名总监级别的高层管理者</w:t>
      </w:r>
      <w:r>
        <w:rPr>
          <w:rFonts w:hint="eastAsia" w:ascii="宋体" w:hAnsi="宋体" w:eastAsia="宋体"/>
          <w:sz w:val="24"/>
          <w:szCs w:val="24"/>
        </w:rPr>
        <w:t>；并在入职后</w:t>
      </w:r>
      <w:r>
        <w:rPr>
          <w:rFonts w:hint="eastAsia" w:ascii="宋体" w:hAnsi="宋体" w:eastAsia="宋体"/>
          <w:b/>
          <w:bCs/>
          <w:sz w:val="24"/>
          <w:szCs w:val="24"/>
        </w:rPr>
        <w:t>设计全新的高管融入计划</w:t>
      </w:r>
      <w:r>
        <w:rPr>
          <w:rFonts w:hint="eastAsia" w:ascii="宋体" w:hAnsi="宋体" w:eastAsia="宋体"/>
          <w:sz w:val="24"/>
          <w:szCs w:val="24"/>
        </w:rPr>
        <w:t>，做到新新融合和新老融合</w:t>
      </w:r>
    </w:p>
    <w:p w14:paraId="23D08F23">
      <w:pPr>
        <w:spacing w:line="480" w:lineRule="exact"/>
        <w:rPr>
          <w:rFonts w:hint="eastAsia" w:ascii="宋体" w:hAnsi="宋体" w:eastAsia="宋体"/>
          <w:b/>
          <w:bCs/>
          <w:color w:val="C00000"/>
          <w:sz w:val="24"/>
          <w:szCs w:val="24"/>
          <w:u w:val="single"/>
        </w:rPr>
      </w:pPr>
      <w:r>
        <w:rPr>
          <w:rFonts w:hint="eastAsia" w:ascii="宋体" w:hAnsi="宋体" w:eastAsia="宋体"/>
          <w:b/>
          <w:bCs/>
          <w:color w:val="C00000"/>
          <w:sz w:val="24"/>
          <w:szCs w:val="24"/>
          <w:u w:val="single"/>
        </w:rPr>
        <w:t>曾任艾默生网络能源大中华区学习发展总经理</w:t>
      </w:r>
    </w:p>
    <w:p w14:paraId="13100603">
      <w:pPr>
        <w:spacing w:line="480" w:lineRule="exact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——负责企业培训体系建设：</w:t>
      </w:r>
      <w:r>
        <w:rPr>
          <w:rFonts w:hint="eastAsia" w:ascii="宋体" w:hAnsi="宋体" w:eastAsia="宋体"/>
          <w:sz w:val="24"/>
          <w:szCs w:val="24"/>
        </w:rPr>
        <w:t>组织高管团队、各业务部门建立团队核心素质模型，</w:t>
      </w:r>
      <w:r>
        <w:rPr>
          <w:rFonts w:hint="eastAsia" w:ascii="宋体" w:hAnsi="宋体" w:eastAsia="宋体"/>
          <w:b/>
          <w:bCs/>
          <w:sz w:val="24"/>
          <w:szCs w:val="24"/>
        </w:rPr>
        <w:t>盘点高潜人员和核心人员</w:t>
      </w:r>
      <w:r>
        <w:rPr>
          <w:rFonts w:hint="eastAsia" w:ascii="宋体" w:hAnsi="宋体" w:eastAsia="宋体"/>
          <w:sz w:val="24"/>
          <w:szCs w:val="24"/>
        </w:rPr>
        <w:t>，为人员发展</w:t>
      </w:r>
      <w:r>
        <w:rPr>
          <w:rFonts w:hint="eastAsia" w:ascii="宋体" w:hAnsi="宋体" w:eastAsia="宋体"/>
          <w:b/>
          <w:bCs/>
          <w:sz w:val="24"/>
          <w:szCs w:val="24"/>
        </w:rPr>
        <w:t>编撰培训发展文件和培训手册</w:t>
      </w:r>
      <w:r>
        <w:rPr>
          <w:rFonts w:hint="eastAsia" w:ascii="宋体" w:hAnsi="宋体" w:eastAsia="宋体"/>
          <w:sz w:val="24"/>
          <w:szCs w:val="24"/>
        </w:rPr>
        <w:t>，并多次主导</w:t>
      </w:r>
      <w:r>
        <w:rPr>
          <w:rFonts w:hint="eastAsia" w:ascii="宋体" w:hAnsi="宋体" w:eastAsia="宋体"/>
          <w:b/>
          <w:bCs/>
          <w:sz w:val="24"/>
          <w:szCs w:val="24"/>
        </w:rPr>
        <w:t>高潜和核心人员的培训发展项目</w:t>
      </w:r>
      <w:r>
        <w:rPr>
          <w:rFonts w:hint="eastAsia" w:ascii="宋体" w:hAnsi="宋体" w:eastAsia="宋体"/>
          <w:sz w:val="24"/>
          <w:szCs w:val="24"/>
        </w:rPr>
        <w:t>，如高层管理实践项目、分公司部门经理培训培养项目；作为企业亚太区认证领导力讲师，</w:t>
      </w:r>
      <w:r>
        <w:rPr>
          <w:rFonts w:hint="eastAsia" w:ascii="宋体" w:hAnsi="宋体" w:eastAsia="宋体"/>
          <w:b/>
          <w:bCs/>
          <w:sz w:val="24"/>
          <w:szCs w:val="24"/>
        </w:rPr>
        <w:t>为2</w:t>
      </w:r>
      <w:r>
        <w:rPr>
          <w:rFonts w:ascii="宋体" w:hAnsi="宋体" w:eastAsia="宋体"/>
          <w:b/>
          <w:bCs/>
          <w:sz w:val="24"/>
          <w:szCs w:val="24"/>
        </w:rPr>
        <w:t>000+</w:t>
      </w:r>
      <w:r>
        <w:rPr>
          <w:rFonts w:hint="eastAsia" w:ascii="宋体" w:hAnsi="宋体" w:eastAsia="宋体"/>
          <w:b/>
          <w:bCs/>
          <w:sz w:val="24"/>
          <w:szCs w:val="24"/>
        </w:rPr>
        <w:t>员工授课超5</w:t>
      </w:r>
      <w:r>
        <w:rPr>
          <w:rFonts w:ascii="宋体" w:hAnsi="宋体" w:eastAsia="宋体"/>
          <w:b/>
          <w:bCs/>
          <w:sz w:val="24"/>
          <w:szCs w:val="24"/>
        </w:rPr>
        <w:t>0</w:t>
      </w:r>
      <w:r>
        <w:rPr>
          <w:rFonts w:hint="eastAsia" w:ascii="宋体" w:hAnsi="宋体" w:eastAsia="宋体"/>
          <w:b/>
          <w:bCs/>
          <w:sz w:val="24"/>
          <w:szCs w:val="24"/>
        </w:rPr>
        <w:t>场，授课内容包括领导力发展、综合管理和专业技能类</w:t>
      </w:r>
    </w:p>
    <w:p w14:paraId="68C361D3">
      <w:pPr>
        <w:spacing w:line="480" w:lineRule="exact"/>
        <w:rPr>
          <w:rFonts w:hint="eastAsia" w:ascii="宋体" w:hAnsi="宋体" w:eastAsia="宋体"/>
          <w:b/>
          <w:bCs/>
          <w:color w:val="C00000"/>
          <w:sz w:val="24"/>
          <w:szCs w:val="24"/>
          <w:u w:val="single"/>
        </w:rPr>
      </w:pPr>
      <w:r>
        <w:rPr>
          <w:rFonts w:hint="eastAsia" w:ascii="宋体" w:hAnsi="宋体" w:eastAsia="宋体"/>
          <w:b/>
          <w:bCs/>
          <w:color w:val="C00000"/>
          <w:sz w:val="24"/>
          <w:szCs w:val="24"/>
          <w:u w:val="single"/>
        </w:rPr>
        <w:t>曾任职戴尔日本及亚太区高级人力资源管理顾问</w:t>
      </w:r>
    </w:p>
    <w:p w14:paraId="2A8CD975">
      <w:pPr>
        <w:spacing w:line="480" w:lineRule="exact"/>
        <w:jc w:val="lef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——负责亚太及日本区人力资源统筹工作</w:t>
      </w:r>
      <w:r>
        <w:rPr>
          <w:rFonts w:hint="eastAsia" w:ascii="宋体" w:hAnsi="宋体" w:eastAsia="宋体"/>
          <w:sz w:val="24"/>
          <w:szCs w:val="24"/>
        </w:rPr>
        <w:t>：梳理企业人才结构，设立高潜员工库，并针对性为企业规划实施全球顶级领导力人才发展项目（leadership</w:t>
      </w:r>
      <w:r>
        <w:rPr>
          <w:rFonts w:ascii="宋体" w:hAnsi="宋体" w:eastAsia="宋体"/>
          <w:sz w:val="24"/>
          <w:szCs w:val="24"/>
        </w:rPr>
        <w:t>2030</w:t>
      </w:r>
      <w:r>
        <w:rPr>
          <w:rFonts w:hint="eastAsia" w:ascii="宋体" w:hAnsi="宋体" w:eastAsia="宋体"/>
          <w:sz w:val="24"/>
          <w:szCs w:val="24"/>
        </w:rPr>
        <w:t>），</w:t>
      </w:r>
      <w:r>
        <w:rPr>
          <w:rFonts w:hint="eastAsia" w:ascii="宋体" w:hAnsi="宋体" w:eastAsia="宋体"/>
          <w:b/>
          <w:bCs/>
          <w:sz w:val="24"/>
          <w:szCs w:val="24"/>
        </w:rPr>
        <w:t>实现顶级人才储备超100人；作为亚太区人力核心管理团队成员，</w:t>
      </w:r>
      <w:r>
        <w:rPr>
          <w:rFonts w:hint="eastAsia" w:ascii="宋体" w:hAnsi="宋体" w:eastAsia="宋体"/>
          <w:sz w:val="24"/>
          <w:szCs w:val="24"/>
        </w:rPr>
        <w:t>协助亚太区人力负责人进行</w:t>
      </w:r>
      <w:r>
        <w:rPr>
          <w:rFonts w:hint="eastAsia" w:ascii="宋体" w:hAnsi="宋体" w:eastAsia="宋体"/>
          <w:b/>
          <w:bCs/>
          <w:sz w:val="24"/>
          <w:szCs w:val="24"/>
        </w:rPr>
        <w:t>跨国和跨地区的管理</w:t>
      </w:r>
      <w:r>
        <w:rPr>
          <w:rFonts w:hint="eastAsia" w:ascii="宋体" w:hAnsi="宋体" w:eastAsia="宋体"/>
          <w:sz w:val="24"/>
          <w:szCs w:val="24"/>
        </w:rPr>
        <w:t>，并给亚太区的员工讲授</w:t>
      </w:r>
      <w:r>
        <w:rPr>
          <w:rFonts w:hint="eastAsia" w:ascii="宋体" w:hAnsi="宋体" w:eastAsia="宋体"/>
          <w:b/>
          <w:bCs/>
          <w:sz w:val="24"/>
          <w:szCs w:val="24"/>
        </w:rPr>
        <w:t>包容性管理、领导力基石、文化管理</w:t>
      </w:r>
      <w:r>
        <w:rPr>
          <w:rFonts w:hint="eastAsia" w:ascii="宋体" w:hAnsi="宋体" w:eastAsia="宋体"/>
          <w:sz w:val="24"/>
          <w:szCs w:val="24"/>
        </w:rPr>
        <w:t>等课程</w:t>
      </w:r>
    </w:p>
    <w:p w14:paraId="787F365E">
      <w:pPr>
        <w:spacing w:line="480" w:lineRule="exact"/>
        <w:rPr>
          <w:rFonts w:hint="eastAsia" w:ascii="宋体" w:hAnsi="宋体" w:eastAsia="宋体"/>
          <w:b/>
          <w:bCs/>
          <w:color w:val="C00000"/>
          <w:sz w:val="24"/>
          <w:szCs w:val="24"/>
          <w:u w:val="single"/>
        </w:rPr>
      </w:pPr>
      <w:r>
        <w:rPr>
          <w:rFonts w:hint="eastAsia" w:ascii="宋体" w:hAnsi="宋体" w:eastAsia="宋体"/>
          <w:b/>
          <w:bCs/>
          <w:color w:val="C00000"/>
          <w:sz w:val="24"/>
          <w:szCs w:val="24"/>
          <w:u w:val="single"/>
        </w:rPr>
        <w:t>曾任广田控股集团人力资源总监</w:t>
      </w:r>
    </w:p>
    <w:p w14:paraId="43559E52">
      <w:pPr>
        <w:spacing w:line="480" w:lineRule="exact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——负责集团组织结构优化、企业并购的人力资源重组工作：</w:t>
      </w:r>
      <w:r>
        <w:rPr>
          <w:rFonts w:hint="eastAsia" w:ascii="宋体" w:hAnsi="宋体" w:eastAsia="宋体"/>
          <w:sz w:val="24"/>
          <w:szCs w:val="24"/>
        </w:rPr>
        <w:t>针对集团的人力资源战略规划，对集团的组织结构进行优化，实现</w:t>
      </w:r>
      <w:r>
        <w:rPr>
          <w:rStyle w:val="14"/>
          <w:rFonts w:hint="eastAsia" w:ascii="宋体" w:hAnsi="宋体" w:eastAsia="宋体" w:cs="Arial"/>
          <w:bCs/>
          <w:sz w:val="24"/>
          <w:szCs w:val="24"/>
        </w:rPr>
        <w:t>三级管控的定位确认，并编制控股集团的人力预算方案；得到高层领导的一致认可，后被任命为集团跨国并购的项目人力资源重组负责人，</w:t>
      </w:r>
      <w:r>
        <w:rPr>
          <w:rFonts w:hint="eastAsia" w:ascii="宋体" w:hAnsi="宋体" w:eastAsia="宋体"/>
          <w:b/>
          <w:bCs/>
          <w:sz w:val="24"/>
          <w:szCs w:val="24"/>
        </w:rPr>
        <w:t>主导与意大利玻璃幕墙的人力资源的重组、新企业文化构建，与全球顶级的咨询公司光辉合益中外团队合作（</w:t>
      </w:r>
      <w:bookmarkStart w:id="0" w:name="_Hlk106265505"/>
      <w:r>
        <w:rPr>
          <w:rFonts w:hint="eastAsia" w:ascii="宋体" w:hAnsi="宋体" w:eastAsia="宋体"/>
          <w:b/>
          <w:bCs/>
          <w:sz w:val="24"/>
          <w:szCs w:val="24"/>
        </w:rPr>
        <w:t>跨国并购</w:t>
      </w:r>
      <w:bookmarkEnd w:id="0"/>
      <w:r>
        <w:rPr>
          <w:rFonts w:hint="eastAsia" w:ascii="宋体" w:hAnsi="宋体" w:eastAsia="宋体"/>
          <w:b/>
          <w:bCs/>
          <w:sz w:val="24"/>
          <w:szCs w:val="24"/>
        </w:rPr>
        <w:t>，两企业涉及</w:t>
      </w:r>
      <w:r>
        <w:rPr>
          <w:rFonts w:ascii="宋体" w:hAnsi="宋体" w:eastAsia="宋体"/>
          <w:b/>
          <w:bCs/>
          <w:sz w:val="24"/>
          <w:szCs w:val="24"/>
        </w:rPr>
        <w:t>10余国7000+员工</w:t>
      </w:r>
      <w:r>
        <w:rPr>
          <w:rFonts w:hint="eastAsia" w:ascii="宋体" w:hAnsi="宋体" w:eastAsia="宋体"/>
          <w:b/>
          <w:bCs/>
          <w:sz w:val="24"/>
          <w:szCs w:val="24"/>
        </w:rPr>
        <w:t>），对全球</w:t>
      </w:r>
      <w:r>
        <w:rPr>
          <w:rFonts w:ascii="宋体" w:hAnsi="宋体" w:eastAsia="宋体"/>
          <w:b/>
          <w:bCs/>
          <w:sz w:val="24"/>
          <w:szCs w:val="24"/>
        </w:rPr>
        <w:t>300+关键人员分析，形成170余人长期激励和保留计划。</w:t>
      </w:r>
    </w:p>
    <w:p w14:paraId="46A79877">
      <w:pPr>
        <w:spacing w:line="480" w:lineRule="exact"/>
        <w:rPr>
          <w:rStyle w:val="14"/>
          <w:rFonts w:hint="eastAsia" w:ascii="宋体" w:hAnsi="宋体" w:eastAsia="宋体" w:cs="Arial"/>
          <w:b/>
        </w:rPr>
      </w:pPr>
    </w:p>
    <w:p w14:paraId="2690DD8E">
      <w:pPr>
        <w:spacing w:line="480" w:lineRule="exact"/>
        <w:rPr>
          <w:rStyle w:val="14"/>
          <w:rFonts w:hint="eastAsia" w:ascii="宋体" w:hAnsi="宋体" w:eastAsia="宋体" w:cs="Arial"/>
          <w:b/>
          <w:sz w:val="24"/>
          <w:szCs w:val="24"/>
        </w:rPr>
      </w:pPr>
      <w:r>
        <w:rPr>
          <w:rStyle w:val="14"/>
          <w:rFonts w:hint="eastAsia" w:ascii="宋体" w:hAnsi="宋体" w:eastAsia="宋体" w:cs="Arial"/>
          <w:b/>
          <w:sz w:val="24"/>
          <w:szCs w:val="24"/>
        </w:rPr>
        <w:t>项目经验：</w:t>
      </w:r>
    </w:p>
    <w:p w14:paraId="1E905FA3">
      <w:pPr>
        <w:spacing w:line="480" w:lineRule="exact"/>
        <w:rPr>
          <w:rFonts w:hint="eastAsia" w:ascii="宋体" w:hAnsi="宋体" w:eastAsia="宋体"/>
          <w:bCs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某跨境电商企业——薪酬绩效体系建设项目</w:t>
      </w:r>
      <w:r>
        <w:rPr>
          <w:rFonts w:hint="eastAsia" w:ascii="宋体" w:hAnsi="宋体" w:eastAsia="宋体"/>
          <w:bCs/>
          <w:sz w:val="24"/>
          <w:szCs w:val="24"/>
        </w:rPr>
        <w:t>，历时5个月，采用内部辅导、咨询和陪跑模式，完成运营、产品和职能部门的组织绩效和个人绩效指标设计、职级体系建设和宽带薪酬设计</w:t>
      </w:r>
    </w:p>
    <w:p w14:paraId="23B1BBE5">
      <w:pPr>
        <w:spacing w:line="480" w:lineRule="exact"/>
        <w:rPr>
          <w:rFonts w:hint="eastAsia" w:ascii="宋体" w:hAnsi="宋体" w:eastAsia="宋体"/>
          <w:bCs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戴尔集团</w:t>
      </w:r>
      <w:r>
        <w:rPr>
          <w:rFonts w:hint="eastAsia" w:ascii="宋体" w:hAnsi="宋体" w:eastAsia="宋体"/>
          <w:bCs/>
          <w:sz w:val="24"/>
          <w:szCs w:val="24"/>
        </w:rPr>
        <w:t>——</w:t>
      </w:r>
      <w:r>
        <w:rPr>
          <w:rFonts w:hint="eastAsia" w:ascii="宋体" w:hAnsi="宋体" w:eastAsia="宋体"/>
          <w:b/>
          <w:sz w:val="24"/>
          <w:szCs w:val="24"/>
        </w:rPr>
        <w:t>全球领导力2030项目</w:t>
      </w:r>
      <w:r>
        <w:rPr>
          <w:rFonts w:hint="eastAsia" w:ascii="宋体" w:hAnsi="宋体" w:eastAsia="宋体"/>
          <w:bCs/>
          <w:sz w:val="24"/>
          <w:szCs w:val="24"/>
        </w:rPr>
        <w:t>，负责中国区的中高级管理人才的选拔和培养，为戴尔培养符合国际化视野和全面的领导能力的管理者，设计本地化的领导力发展项目，并在项目中与各级管理者深入交流和辅导，成果获得亚太区和全球总部的认可。</w:t>
      </w:r>
    </w:p>
    <w:p w14:paraId="74820533">
      <w:pPr>
        <w:spacing w:line="480" w:lineRule="exact"/>
        <w:rPr>
          <w:rStyle w:val="14"/>
          <w:rFonts w:hint="eastAsia" w:ascii="宋体" w:hAnsi="宋体" w:eastAsia="宋体" w:cs="Arial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艾默生</w:t>
      </w:r>
      <w:r>
        <w:rPr>
          <w:rFonts w:hint="eastAsia" w:ascii="宋体" w:hAnsi="宋体" w:eastAsia="宋体"/>
          <w:bCs/>
          <w:sz w:val="24"/>
          <w:szCs w:val="24"/>
        </w:rPr>
        <w:t>——</w:t>
      </w:r>
      <w:r>
        <w:rPr>
          <w:rFonts w:hint="eastAsia" w:ascii="宋体" w:hAnsi="宋体" w:eastAsia="宋体"/>
          <w:b/>
          <w:sz w:val="24"/>
          <w:szCs w:val="24"/>
        </w:rPr>
        <w:t>高层管理实践项目，新工厂及收并购企业管理者能力提升项目</w:t>
      </w:r>
      <w:r>
        <w:rPr>
          <w:rFonts w:hint="eastAsia" w:ascii="宋体" w:hAnsi="宋体" w:eastAsia="宋体"/>
          <w:bCs/>
          <w:sz w:val="24"/>
          <w:szCs w:val="24"/>
        </w:rPr>
        <w:t>，从全集团中选拔40人的高级管理者（总监级以上），邀请总部和亚太区总裁，副总裁担任授课讲师，设计全面系统的领导力课程，并为学员讲授专业课程；同时为新任管理者、中高层领导者讲授多门管理类和领导力课程，包括管理转型、沟通型领导力、携手共进等课程，是多年蝉联大中华区优秀领导力和管理类高级讲师，及亚太区优秀讲师。</w:t>
      </w:r>
    </w:p>
    <w:p w14:paraId="3B0E5A88">
      <w:pPr>
        <w:spacing w:line="480" w:lineRule="exact"/>
        <w:rPr>
          <w:rFonts w:hint="eastAsia" w:ascii="宋体" w:hAnsi="宋体" w:eastAsia="宋体"/>
          <w:bCs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金宝贝早教</w:t>
      </w:r>
      <w:r>
        <w:rPr>
          <w:rFonts w:hint="eastAsia" w:ascii="宋体" w:hAnsi="宋体" w:eastAsia="宋体"/>
          <w:bCs/>
          <w:sz w:val="24"/>
          <w:szCs w:val="24"/>
        </w:rPr>
        <w:t>——</w:t>
      </w:r>
      <w:r>
        <w:rPr>
          <w:rFonts w:hint="eastAsia" w:ascii="宋体" w:hAnsi="宋体" w:eastAsia="宋体"/>
          <w:b/>
          <w:sz w:val="24"/>
          <w:szCs w:val="24"/>
        </w:rPr>
        <w:t>储备店长培养项目</w:t>
      </w:r>
      <w:r>
        <w:rPr>
          <w:rFonts w:hint="eastAsia" w:ascii="宋体" w:hAnsi="宋体" w:eastAsia="宋体"/>
          <w:bCs/>
          <w:sz w:val="24"/>
          <w:szCs w:val="24"/>
        </w:rPr>
        <w:t>，助力企业高潜力人员挖掘盘点，并设计内部人才梯队培养方案，构建人才培养系统，快速培养30名店长和副店长，后期新业务骨干均来自该项目。</w:t>
      </w:r>
    </w:p>
    <w:p w14:paraId="30B3E78D">
      <w:pPr>
        <w:spacing w:line="480" w:lineRule="exact"/>
        <w:rPr>
          <w:rFonts w:hint="eastAsia" w:ascii="宋体" w:hAnsi="宋体" w:eastAsia="宋体"/>
          <w:bCs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致欧科技</w:t>
      </w:r>
      <w:r>
        <w:rPr>
          <w:rFonts w:hint="eastAsia" w:ascii="宋体" w:hAnsi="宋体" w:eastAsia="宋体"/>
          <w:bCs/>
          <w:sz w:val="24"/>
          <w:szCs w:val="24"/>
        </w:rPr>
        <w:t>——</w:t>
      </w:r>
      <w:r>
        <w:rPr>
          <w:rFonts w:hint="eastAsia" w:ascii="宋体" w:hAnsi="宋体" w:eastAsia="宋体"/>
          <w:b/>
          <w:sz w:val="24"/>
          <w:szCs w:val="24"/>
        </w:rPr>
        <w:t>组织流程和架构设计项目，</w:t>
      </w:r>
      <w:r>
        <w:rPr>
          <w:rFonts w:hint="eastAsia" w:ascii="宋体" w:hAnsi="宋体" w:eastAsia="宋体"/>
          <w:bCs/>
          <w:sz w:val="24"/>
          <w:szCs w:val="24"/>
        </w:rPr>
        <w:t>以企业战略需求为核心，为企业设立业务三支柱的内部协同机制，确定新架构下的组织部门权责利和考核指标，并推动变革工作落地，期间共成立</w:t>
      </w:r>
      <w:r>
        <w:rPr>
          <w:rFonts w:ascii="宋体" w:hAnsi="宋体" w:eastAsia="宋体"/>
          <w:bCs/>
          <w:sz w:val="24"/>
          <w:szCs w:val="24"/>
        </w:rPr>
        <w:t>12个公司级变革项目，10个部门级变革项目</w:t>
      </w:r>
      <w:r>
        <w:rPr>
          <w:rFonts w:hint="eastAsia" w:ascii="宋体" w:hAnsi="宋体" w:eastAsia="宋体"/>
          <w:bCs/>
          <w:sz w:val="24"/>
          <w:szCs w:val="24"/>
        </w:rPr>
        <w:t>。</w:t>
      </w:r>
    </w:p>
    <w:p w14:paraId="00C6E564">
      <w:pPr>
        <w:spacing w:line="480" w:lineRule="exact"/>
        <w:rPr>
          <w:rFonts w:hint="eastAsia" w:ascii="宋体" w:hAnsi="宋体" w:eastAsia="宋体"/>
          <w:bCs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拉拉米科技</w:t>
      </w:r>
      <w:r>
        <w:rPr>
          <w:rFonts w:hint="eastAsia" w:ascii="宋体" w:hAnsi="宋体" w:eastAsia="宋体"/>
          <w:bCs/>
          <w:sz w:val="24"/>
          <w:szCs w:val="24"/>
        </w:rPr>
        <w:t>——</w:t>
      </w:r>
      <w:r>
        <w:rPr>
          <w:rFonts w:hint="eastAsia" w:ascii="宋体" w:hAnsi="宋体" w:eastAsia="宋体"/>
          <w:b/>
          <w:sz w:val="24"/>
          <w:szCs w:val="24"/>
        </w:rPr>
        <w:t>绩效薪酬体系更新项目</w:t>
      </w:r>
      <w:r>
        <w:rPr>
          <w:rFonts w:hint="eastAsia" w:ascii="宋体" w:hAnsi="宋体" w:eastAsia="宋体"/>
          <w:bCs/>
          <w:sz w:val="24"/>
          <w:szCs w:val="24"/>
        </w:rPr>
        <w:t>，助力企业落地强激励性的浮动奖金和正向考核机制，提高内部人员竞争性和企业外部人才吸引力。使内部员工满意度由</w:t>
      </w:r>
      <w:r>
        <w:rPr>
          <w:rFonts w:ascii="宋体" w:hAnsi="宋体" w:eastAsia="宋体"/>
          <w:bCs/>
          <w:sz w:val="24"/>
          <w:szCs w:val="24"/>
        </w:rPr>
        <w:t>65%提高到90%</w:t>
      </w:r>
      <w:r>
        <w:rPr>
          <w:rFonts w:hint="eastAsia" w:ascii="宋体" w:hAnsi="宋体" w:eastAsia="宋体"/>
          <w:bCs/>
          <w:sz w:val="24"/>
          <w:szCs w:val="24"/>
        </w:rPr>
        <w:t>，吸引近6</w:t>
      </w:r>
      <w:r>
        <w:rPr>
          <w:rFonts w:ascii="宋体" w:hAnsi="宋体" w:eastAsia="宋体"/>
          <w:bCs/>
          <w:sz w:val="24"/>
          <w:szCs w:val="24"/>
        </w:rPr>
        <w:t>0</w:t>
      </w:r>
      <w:r>
        <w:rPr>
          <w:rFonts w:hint="eastAsia" w:ascii="宋体" w:hAnsi="宋体" w:eastAsia="宋体"/>
          <w:bCs/>
          <w:sz w:val="24"/>
          <w:szCs w:val="24"/>
        </w:rPr>
        <w:t>外部高管加入，</w:t>
      </w:r>
      <w:r>
        <w:rPr>
          <w:rFonts w:ascii="宋体" w:hAnsi="宋体" w:eastAsia="宋体"/>
          <w:bCs/>
          <w:sz w:val="24"/>
          <w:szCs w:val="24"/>
        </w:rPr>
        <w:t>平均到岗时间20天</w:t>
      </w:r>
      <w:r>
        <w:rPr>
          <w:rFonts w:hint="eastAsia" w:ascii="宋体" w:hAnsi="宋体" w:eastAsia="宋体"/>
          <w:bCs/>
          <w:sz w:val="24"/>
          <w:szCs w:val="24"/>
        </w:rPr>
        <w:t>。</w:t>
      </w:r>
    </w:p>
    <w:p w14:paraId="695AE6A5">
      <w:pPr>
        <w:spacing w:line="480" w:lineRule="exact"/>
        <w:rPr>
          <w:rFonts w:hint="eastAsia" w:ascii="宋体" w:hAnsi="宋体" w:eastAsia="宋体"/>
          <w:bCs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天安数码城集团——企业商学院建立项目</w:t>
      </w:r>
      <w:r>
        <w:rPr>
          <w:rFonts w:hint="eastAsia" w:ascii="宋体" w:hAnsi="宋体" w:eastAsia="宋体"/>
          <w:bCs/>
          <w:sz w:val="24"/>
          <w:szCs w:val="24"/>
        </w:rPr>
        <w:t>，完成多位一体的企业商学院规划，获得公司领导高度好评，为企业培养超过</w:t>
      </w:r>
      <w:r>
        <w:rPr>
          <w:rFonts w:ascii="宋体" w:hAnsi="宋体" w:eastAsia="宋体"/>
          <w:bCs/>
          <w:sz w:val="24"/>
          <w:szCs w:val="24"/>
        </w:rPr>
        <w:t>100名高级管理人员</w:t>
      </w:r>
    </w:p>
    <w:p w14:paraId="5F4F466C">
      <w:pPr>
        <w:spacing w:line="480" w:lineRule="exact"/>
        <w:rPr>
          <w:rFonts w:hint="eastAsia" w:ascii="宋体" w:hAnsi="宋体" w:eastAsia="宋体"/>
          <w:b/>
          <w:bCs/>
          <w:sz w:val="24"/>
          <w:szCs w:val="24"/>
        </w:rPr>
      </w:pPr>
    </w:p>
    <w:p w14:paraId="59FA442F">
      <w:pPr>
        <w:spacing w:line="480" w:lineRule="exac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主讲课程：</w:t>
      </w:r>
    </w:p>
    <w:p w14:paraId="75DEF362">
      <w:pPr>
        <w:widowControl/>
        <w:spacing w:line="480" w:lineRule="exact"/>
        <w:jc w:val="lef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《精准识才：打造顶级面试官》</w:t>
      </w:r>
    </w:p>
    <w:p w14:paraId="660A2F65">
      <w:pPr>
        <w:widowControl/>
        <w:spacing w:line="480" w:lineRule="exact"/>
        <w:jc w:val="lef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《跳出工具思维：AI赋能解决问题》</w:t>
      </w:r>
    </w:p>
    <w:p w14:paraId="45608D50">
      <w:pPr>
        <w:widowControl/>
        <w:spacing w:line="480" w:lineRule="exact"/>
        <w:jc w:val="lef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《结果为王：承接战略的绩效管理》</w:t>
      </w:r>
    </w:p>
    <w:p w14:paraId="241A09E9">
      <w:pPr>
        <w:widowControl/>
        <w:spacing w:line="480" w:lineRule="exact"/>
        <w:jc w:val="lef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《精兵强将：搭建高效人才梯队体系》</w:t>
      </w:r>
    </w:p>
    <w:p w14:paraId="685A97E4">
      <w:pPr>
        <w:widowControl/>
        <w:spacing w:line="480" w:lineRule="exact"/>
        <w:jc w:val="lef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《实战为基：建设训战结合的培训体系》</w:t>
      </w:r>
    </w:p>
    <w:p w14:paraId="7D40AC85">
      <w:pPr>
        <w:widowControl/>
        <w:spacing w:line="480" w:lineRule="exact"/>
        <w:jc w:val="lef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《人才合伙人：非人力资源经理的人才经营实战》</w:t>
      </w:r>
    </w:p>
    <w:p w14:paraId="56607CFE">
      <w:pPr>
        <w:widowControl/>
        <w:spacing w:line="480" w:lineRule="exact"/>
        <w:jc w:val="lef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《从出海到腾飞：出海企业人力资源管理的破局之道》</w:t>
      </w:r>
    </w:p>
    <w:p w14:paraId="4EA7F2E4">
      <w:pPr>
        <w:widowControl/>
        <w:spacing w:line="480" w:lineRule="exact"/>
        <w:jc w:val="lef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《AI赋能HR进阶——从“效率工具”到“组织效能引擎”》</w:t>
      </w:r>
    </w:p>
    <w:p w14:paraId="43376958">
      <w:pPr>
        <w:widowControl/>
        <w:spacing w:line="480" w:lineRule="exact"/>
        <w:jc w:val="left"/>
        <w:rPr>
          <w:rFonts w:hint="eastAsia" w:ascii="宋体" w:hAnsi="宋体" w:eastAsia="宋体"/>
          <w:b/>
          <w:bCs/>
          <w:sz w:val="24"/>
          <w:szCs w:val="24"/>
        </w:rPr>
      </w:pPr>
    </w:p>
    <w:p w14:paraId="3FD13973">
      <w:pPr>
        <w:widowControl/>
        <w:spacing w:line="480" w:lineRule="exact"/>
        <w:jc w:val="left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授课风格：</w:t>
      </w:r>
    </w:p>
    <w:p w14:paraId="5895BA81">
      <w:pPr>
        <w:widowControl/>
        <w:spacing w:line="480" w:lineRule="exact"/>
        <w:jc w:val="lef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风格生动、感染力强，擅于</w:t>
      </w:r>
      <w:r>
        <w:rPr>
          <w:rFonts w:hint="eastAsia" w:ascii="宋体" w:hAnsi="宋体" w:eastAsia="宋体"/>
          <w:b/>
          <w:bCs/>
          <w:sz w:val="24"/>
          <w:szCs w:val="24"/>
        </w:rPr>
        <w:t>旁征博引</w:t>
      </w:r>
      <w:r>
        <w:rPr>
          <w:rFonts w:hint="eastAsia" w:ascii="宋体" w:hAnsi="宋体" w:eastAsia="宋体"/>
          <w:sz w:val="24"/>
          <w:szCs w:val="24"/>
        </w:rPr>
        <w:t>，以事实支持观点；</w:t>
      </w:r>
    </w:p>
    <w:p w14:paraId="0320DCE1">
      <w:pPr>
        <w:widowControl/>
        <w:spacing w:line="480" w:lineRule="exact"/>
        <w:jc w:val="lef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培训过程中精心设计师生互动环节，使学员全身心、全方位地</w:t>
      </w:r>
      <w:r>
        <w:rPr>
          <w:rFonts w:hint="eastAsia" w:ascii="宋体" w:hAnsi="宋体" w:eastAsia="宋体"/>
          <w:b/>
          <w:bCs/>
          <w:sz w:val="24"/>
          <w:szCs w:val="24"/>
        </w:rPr>
        <w:t>沉浸式参与培训</w:t>
      </w:r>
    </w:p>
    <w:p w14:paraId="1EC65A70">
      <w:pPr>
        <w:widowControl/>
        <w:spacing w:line="480" w:lineRule="exact"/>
        <w:jc w:val="lef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运用</w:t>
      </w:r>
      <w:r>
        <w:rPr>
          <w:rFonts w:hint="eastAsia" w:ascii="宋体" w:hAnsi="宋体" w:eastAsia="宋体"/>
          <w:b/>
          <w:bCs/>
          <w:sz w:val="24"/>
          <w:szCs w:val="24"/>
        </w:rPr>
        <w:t>体验式教学</w:t>
      </w:r>
      <w:r>
        <w:rPr>
          <w:rFonts w:hint="eastAsia" w:ascii="宋体" w:hAnsi="宋体" w:eastAsia="宋体"/>
          <w:sz w:val="24"/>
          <w:szCs w:val="24"/>
        </w:rPr>
        <w:t>手段，互动性强，学员参与度高</w:t>
      </w:r>
    </w:p>
    <w:p w14:paraId="3A884518">
      <w:pPr>
        <w:widowControl/>
        <w:spacing w:line="480" w:lineRule="exact"/>
        <w:jc w:val="lef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理论与实务并重</w:t>
      </w:r>
      <w:r>
        <w:rPr>
          <w:rFonts w:hint="eastAsia" w:ascii="宋体" w:hAnsi="宋体" w:eastAsia="宋体"/>
          <w:sz w:val="24"/>
          <w:szCs w:val="24"/>
        </w:rPr>
        <w:t>，信息量大，内容严谨充实又不乏轻松幽默；</w:t>
      </w:r>
    </w:p>
    <w:p w14:paraId="18CF825D">
      <w:pPr>
        <w:widowControl/>
        <w:spacing w:line="480" w:lineRule="exact"/>
        <w:jc w:val="left"/>
        <w:rPr>
          <w:rFonts w:hint="eastAsia" w:ascii="宋体" w:hAnsi="宋体" w:eastAsia="宋体"/>
          <w:sz w:val="24"/>
          <w:szCs w:val="24"/>
        </w:rPr>
      </w:pPr>
    </w:p>
    <w:p w14:paraId="6BC8D8B0">
      <w:pPr>
        <w:widowControl/>
        <w:spacing w:line="480" w:lineRule="exact"/>
        <w:jc w:val="left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部分服务客户：</w:t>
      </w:r>
    </w:p>
    <w:p w14:paraId="132DCCE7">
      <w:pPr>
        <w:widowControl/>
        <w:spacing w:line="480" w:lineRule="exact"/>
        <w:jc w:val="left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F1115"/>
          <w:sz w:val="24"/>
          <w:szCs w:val="24"/>
          <w:shd w:val="clear" w:color="auto" w:fill="FFFFFF"/>
        </w:rPr>
        <w:t>电子/科技/电器：</w:t>
      </w:r>
      <w:r>
        <w:rPr>
          <w:rFonts w:hint="eastAsia" w:ascii="宋体" w:hAnsi="宋体" w:eastAsia="宋体" w:cs="宋体"/>
          <w:color w:val="0F1115"/>
          <w:sz w:val="24"/>
          <w:szCs w:val="24"/>
          <w:shd w:val="clear" w:color="auto" w:fill="FFFFFF"/>
        </w:rPr>
        <w:t>美的集团股份、创维集团、珠海紫翔电子科技、库卡机器人、铂恩氏（东莞）电子、湖南中科电气、税友软件</w:t>
      </w:r>
      <w:r>
        <w:rPr>
          <w:rFonts w:hint="eastAsia" w:cs="宋体"/>
          <w:color w:val="0F1115"/>
          <w:sz w:val="24"/>
          <w:szCs w:val="24"/>
          <w:shd w:val="clear" w:color="auto" w:fill="FFFFFF"/>
        </w:rPr>
        <w:t>、北京华宇软件、中国兵器工业、</w:t>
      </w:r>
      <w:r>
        <w:rPr>
          <w:rFonts w:hint="eastAsia" w:ascii="宋体" w:hAnsi="宋体" w:eastAsia="宋体" w:cs="宋体"/>
          <w:color w:val="0F1115"/>
          <w:sz w:val="24"/>
          <w:szCs w:val="24"/>
          <w:shd w:val="clear" w:color="auto" w:fill="FFFFFF"/>
        </w:rPr>
        <w:t>广西百富电子、中国检验认证集团、国星半导体技术、龙旗电子、长沙北斗产业安全技术研究院、三赢科技、美的制冷设备有限公司、深圳市长盈精密技术股份、飞宏（东莞）电子、深圳市路特创新科技、胜宏科技、深圳市科陆电子</w:t>
      </w:r>
      <w:r>
        <w:rPr>
          <w:rFonts w:hint="eastAsia" w:cs="宋体"/>
          <w:color w:val="0F1115"/>
          <w:sz w:val="24"/>
          <w:szCs w:val="24"/>
          <w:shd w:val="clear" w:color="auto" w:fill="FFFFFF"/>
        </w:rPr>
        <w:t>、浙江高信技术</w:t>
      </w:r>
      <w:r>
        <w:rPr>
          <w:rFonts w:hint="eastAsia" w:ascii="宋体" w:hAnsi="宋体" w:eastAsia="宋体" w:cs="宋体"/>
          <w:sz w:val="24"/>
          <w:szCs w:val="24"/>
        </w:rPr>
        <w:t>……</w:t>
      </w:r>
    </w:p>
    <w:p w14:paraId="5F1A8239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金融行业：</w:t>
      </w:r>
      <w:r>
        <w:rPr>
          <w:rFonts w:hint="eastAsia" w:ascii="宋体" w:hAnsi="宋体" w:eastAsia="宋体" w:cs="宋体"/>
          <w:color w:val="0F1115"/>
          <w:sz w:val="24"/>
          <w:szCs w:val="24"/>
          <w:shd w:val="clear" w:color="auto" w:fill="FFFFFF"/>
        </w:rPr>
        <w:t>工商银行、农业银行云南分行、交通银行烟台分行、广东揭西农村商业银行、建设银行深圳分行、邮储银行赣州市分行、平安财产保险、瑞源国际资源投资、江西交投咨询集团、广州市增城区城市建设投资集团、江西铜业集团产融控股、深圳平安综合金融服务、瑞达期货股份</w:t>
      </w:r>
      <w:r>
        <w:rPr>
          <w:rFonts w:hint="eastAsia" w:ascii="宋体" w:hAnsi="宋体" w:eastAsia="宋体" w:cs="宋体"/>
          <w:sz w:val="24"/>
          <w:szCs w:val="24"/>
        </w:rPr>
        <w:t>……</w:t>
      </w:r>
    </w:p>
    <w:p w14:paraId="1702A96A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制造行业：</w:t>
      </w:r>
      <w:r>
        <w:rPr>
          <w:rFonts w:hint="eastAsia" w:ascii="宋体" w:hAnsi="宋体" w:eastAsia="宋体" w:cs="宋体"/>
          <w:color w:val="0F1115"/>
          <w:sz w:val="24"/>
          <w:szCs w:val="24"/>
          <w:shd w:val="clear" w:color="auto" w:fill="FFFFFF"/>
        </w:rPr>
        <w:t>富士康科技、骏马精密工业、陕西法士特沃克齿轮、宗申动力机械、帕尔菲格起重设备、青岛万宝压缩机、中环光伏材料、江口铝业、龙丰精密铜管、顺纺（集团）、贵州茅台酒股份、东鹏饮料、冠豪高新技术、皇氏乳业、立信染整机械、卡尔蔡司光学、青岛万宝压缩机、贵州航天凯山石油仪器、重庆大江动力</w:t>
      </w:r>
      <w:r>
        <w:rPr>
          <w:rFonts w:hint="eastAsia" w:ascii="宋体" w:hAnsi="宋体" w:eastAsia="宋体" w:cs="宋体"/>
          <w:sz w:val="24"/>
          <w:szCs w:val="24"/>
        </w:rPr>
        <w:t>……</w:t>
      </w:r>
    </w:p>
    <w:p w14:paraId="5C29FFC7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汽车/轮船/火车/飞机/航空：</w:t>
      </w:r>
      <w:r>
        <w:rPr>
          <w:rFonts w:hint="eastAsia" w:ascii="宋体" w:hAnsi="宋体" w:eastAsia="宋体" w:cs="宋体"/>
          <w:color w:val="0F1115"/>
          <w:sz w:val="24"/>
          <w:szCs w:val="24"/>
          <w:shd w:val="clear" w:color="auto" w:fill="FFFFFF"/>
        </w:rPr>
        <w:t>奔驰汽车、华光汽车部件、威睿电动汽车、中船黄埔文冲船舶、江铃控股、长安汽车、东风本田发动机、一汽-大众汽车、宇通集团、广州白云国际机场、中国东方航空、首都机场集团、广东省机场管理集团</w:t>
      </w:r>
      <w:r>
        <w:rPr>
          <w:rFonts w:hint="eastAsia" w:ascii="宋体" w:hAnsi="宋体" w:eastAsia="宋体" w:cs="宋体"/>
          <w:sz w:val="24"/>
          <w:szCs w:val="24"/>
        </w:rPr>
        <w:t>……</w:t>
      </w:r>
    </w:p>
    <w:p w14:paraId="52465EF1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房产/工程/建筑行业：</w:t>
      </w:r>
      <w:r>
        <w:rPr>
          <w:rFonts w:hint="eastAsia" w:ascii="宋体" w:hAnsi="宋体" w:eastAsia="宋体" w:cs="宋体"/>
          <w:color w:val="0F1115"/>
          <w:sz w:val="24"/>
          <w:szCs w:val="24"/>
          <w:shd w:val="clear" w:color="auto" w:fill="FFFFFF"/>
        </w:rPr>
        <w:t>中建三局、中建四局安装工程、水利水电规划设计院、中国建筑第六工程局、北京城建、赣昌砂石、中国建筑东北设计研究院、福建三棵树建筑</w:t>
      </w:r>
      <w:r>
        <w:rPr>
          <w:rFonts w:hint="eastAsia" w:ascii="宋体" w:hAnsi="宋体" w:eastAsia="宋体" w:cs="宋体"/>
          <w:sz w:val="24"/>
          <w:szCs w:val="24"/>
        </w:rPr>
        <w:t>……</w:t>
      </w:r>
    </w:p>
    <w:p w14:paraId="70B521BC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交通/地铁/港口/高速服务：</w:t>
      </w:r>
      <w:r>
        <w:rPr>
          <w:rFonts w:hint="eastAsia" w:ascii="宋体" w:hAnsi="宋体" w:eastAsia="宋体" w:cs="宋体"/>
          <w:color w:val="0F1115"/>
          <w:sz w:val="24"/>
          <w:szCs w:val="24"/>
          <w:shd w:val="clear" w:color="auto" w:fill="FFFFFF"/>
        </w:rPr>
        <w:t>广州市轨道交通、广州地铁集团、北京首汽（集团）、南宁轨道交通、中山市公共交通、交投兰城高速公路、汕头招商局港口</w:t>
      </w:r>
      <w:r>
        <w:rPr>
          <w:rFonts w:hint="eastAsia" w:ascii="宋体" w:hAnsi="宋体" w:eastAsia="宋体" w:cs="宋体"/>
          <w:sz w:val="24"/>
          <w:szCs w:val="24"/>
        </w:rPr>
        <w:t>……</w:t>
      </w:r>
    </w:p>
    <w:p w14:paraId="6FDC0F7F">
      <w:pPr>
        <w:spacing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Segoe UI" w:hAnsi="Segoe UI" w:eastAsia="宋体" w:cs="Segoe UI"/>
          <w:b/>
          <w:bCs/>
          <w:color w:val="0F1115"/>
          <w:sz w:val="24"/>
          <w:szCs w:val="24"/>
          <w:shd w:val="clear" w:color="auto" w:fill="FFFFFF"/>
        </w:rPr>
        <w:t>其他：</w:t>
      </w:r>
      <w:r>
        <w:rPr>
          <w:rFonts w:hint="eastAsia" w:ascii="Segoe UI" w:hAnsi="Segoe UI" w:eastAsia="宋体" w:cs="Segoe UI"/>
          <w:color w:val="0F1115"/>
          <w:sz w:val="24"/>
          <w:szCs w:val="24"/>
          <w:shd w:val="clear" w:color="auto" w:fill="FFFFFF"/>
        </w:rPr>
        <w:t>国家电网、南方电网、</w:t>
      </w:r>
      <w:r>
        <w:rPr>
          <w:rFonts w:ascii="Segoe UI" w:hAnsi="Segoe UI" w:eastAsia="Segoe UI" w:cs="Segoe UI"/>
          <w:color w:val="0F1115"/>
          <w:sz w:val="24"/>
          <w:szCs w:val="24"/>
          <w:shd w:val="clear" w:color="auto" w:fill="FFFFFF"/>
        </w:rPr>
        <w:t>广州南方投资</w:t>
      </w:r>
      <w:r>
        <w:rPr>
          <w:rFonts w:hint="eastAsia" w:ascii="Segoe UI" w:hAnsi="Segoe UI" w:eastAsia="宋体" w:cs="Segoe UI"/>
          <w:color w:val="0F1115"/>
          <w:sz w:val="24"/>
          <w:szCs w:val="24"/>
          <w:shd w:val="clear" w:color="auto" w:fill="FFFFFF"/>
        </w:rPr>
        <w:t>、</w:t>
      </w:r>
      <w:r>
        <w:rPr>
          <w:rFonts w:ascii="Segoe UI" w:hAnsi="Segoe UI" w:eastAsia="Segoe UI" w:cs="Segoe UI"/>
          <w:color w:val="0F1115"/>
          <w:sz w:val="24"/>
          <w:szCs w:val="24"/>
          <w:shd w:val="clear" w:color="auto" w:fill="FFFFFF"/>
        </w:rPr>
        <w:t>深圳供电局</w:t>
      </w:r>
      <w:r>
        <w:rPr>
          <w:rFonts w:hint="eastAsia" w:ascii="Segoe UI" w:hAnsi="Segoe UI" w:eastAsia="宋体" w:cs="Segoe UI"/>
          <w:color w:val="0F1115"/>
          <w:sz w:val="24"/>
          <w:szCs w:val="24"/>
          <w:shd w:val="clear" w:color="auto" w:fill="FFFFFF"/>
        </w:rPr>
        <w:t>、</w:t>
      </w:r>
      <w:r>
        <w:rPr>
          <w:rFonts w:ascii="Segoe UI" w:hAnsi="Segoe UI" w:eastAsia="Segoe UI" w:cs="Segoe UI"/>
          <w:color w:val="0F1115"/>
          <w:sz w:val="24"/>
          <w:szCs w:val="24"/>
          <w:shd w:val="clear" w:color="auto" w:fill="FFFFFF"/>
        </w:rPr>
        <w:t>中国能源建设</w:t>
      </w:r>
      <w:r>
        <w:rPr>
          <w:rFonts w:hint="eastAsia" w:ascii="Segoe UI" w:hAnsi="Segoe UI" w:eastAsia="宋体" w:cs="Segoe UI"/>
          <w:color w:val="0F1115"/>
          <w:sz w:val="24"/>
          <w:szCs w:val="24"/>
          <w:shd w:val="clear" w:color="auto" w:fill="FFFFFF"/>
        </w:rPr>
        <w:t>、</w:t>
      </w:r>
      <w:r>
        <w:rPr>
          <w:rFonts w:ascii="Segoe UI" w:hAnsi="Segoe UI" w:eastAsia="Segoe UI" w:cs="Segoe UI"/>
          <w:color w:val="0F1115"/>
          <w:sz w:val="24"/>
          <w:szCs w:val="24"/>
          <w:shd w:val="clear" w:color="auto" w:fill="FFFFFF"/>
        </w:rPr>
        <w:t>中国电信</w:t>
      </w:r>
      <w:r>
        <w:rPr>
          <w:rFonts w:hint="eastAsia" w:ascii="Segoe UI" w:hAnsi="Segoe UI" w:eastAsia="宋体" w:cs="Segoe UI"/>
          <w:color w:val="0F1115"/>
          <w:sz w:val="24"/>
          <w:szCs w:val="24"/>
          <w:shd w:val="clear" w:color="auto" w:fill="FFFFFF"/>
        </w:rPr>
        <w:t>、</w:t>
      </w:r>
      <w:r>
        <w:rPr>
          <w:rFonts w:ascii="Segoe UI" w:hAnsi="Segoe UI" w:eastAsia="Segoe UI" w:cs="Segoe UI"/>
          <w:color w:val="0F1115"/>
          <w:sz w:val="24"/>
          <w:szCs w:val="24"/>
          <w:shd w:val="clear" w:color="auto" w:fill="FFFFFF"/>
        </w:rPr>
        <w:t>中国联合网络通信</w:t>
      </w:r>
      <w:r>
        <w:rPr>
          <w:rFonts w:hint="eastAsia" w:ascii="Segoe UI" w:hAnsi="Segoe UI" w:eastAsia="宋体" w:cs="Segoe UI"/>
          <w:color w:val="0F1115"/>
          <w:sz w:val="24"/>
          <w:szCs w:val="24"/>
          <w:shd w:val="clear" w:color="auto" w:fill="FFFFFF"/>
        </w:rPr>
        <w:t>、</w:t>
      </w:r>
      <w:r>
        <w:rPr>
          <w:rFonts w:ascii="Segoe UI" w:hAnsi="Segoe UI" w:eastAsia="Segoe UI" w:cs="Segoe UI"/>
          <w:color w:val="0F1115"/>
          <w:sz w:val="24"/>
          <w:szCs w:val="24"/>
          <w:shd w:val="clear" w:color="auto" w:fill="FFFFFF"/>
        </w:rPr>
        <w:t>联通（广东）产业</w:t>
      </w:r>
      <w:r>
        <w:rPr>
          <w:rFonts w:hint="eastAsia" w:ascii="Segoe UI" w:hAnsi="Segoe UI" w:eastAsia="宋体" w:cs="Segoe UI"/>
          <w:color w:val="0F1115"/>
          <w:sz w:val="24"/>
          <w:szCs w:val="24"/>
          <w:shd w:val="clear" w:color="auto" w:fill="FFFFFF"/>
        </w:rPr>
        <w:t>、</w:t>
      </w:r>
      <w:r>
        <w:rPr>
          <w:rFonts w:ascii="Segoe UI" w:hAnsi="Segoe UI" w:eastAsia="Segoe UI" w:cs="Segoe UI"/>
          <w:color w:val="0F1115"/>
          <w:sz w:val="24"/>
          <w:szCs w:val="24"/>
          <w:shd w:val="clear" w:color="auto" w:fill="FFFFFF"/>
        </w:rPr>
        <w:t>天翼云科技</w:t>
      </w:r>
      <w:r>
        <w:rPr>
          <w:rFonts w:hint="eastAsia" w:ascii="Segoe UI" w:hAnsi="Segoe UI" w:eastAsia="宋体" w:cs="Segoe UI"/>
          <w:color w:val="0F1115"/>
          <w:sz w:val="24"/>
          <w:szCs w:val="24"/>
          <w:shd w:val="clear" w:color="auto" w:fill="FFFFFF"/>
        </w:rPr>
        <w:t>、</w:t>
      </w:r>
      <w:r>
        <w:rPr>
          <w:rFonts w:ascii="Segoe UI" w:hAnsi="Segoe UI" w:eastAsia="Segoe UI" w:cs="Segoe UI"/>
          <w:color w:val="0F1115"/>
          <w:sz w:val="24"/>
          <w:szCs w:val="24"/>
          <w:shd w:val="clear" w:color="auto" w:fill="FFFFFF"/>
        </w:rPr>
        <w:t>阿里巴巴</w:t>
      </w:r>
      <w:r>
        <w:rPr>
          <w:rFonts w:hint="eastAsia" w:ascii="Segoe UI" w:hAnsi="Segoe UI" w:eastAsia="宋体" w:cs="Segoe UI"/>
          <w:color w:val="0F1115"/>
          <w:sz w:val="24"/>
          <w:szCs w:val="24"/>
          <w:shd w:val="clear" w:color="auto" w:fill="FFFFFF"/>
        </w:rPr>
        <w:t>、</w:t>
      </w:r>
      <w:r>
        <w:rPr>
          <w:rFonts w:ascii="Segoe UI" w:hAnsi="Segoe UI" w:eastAsia="Segoe UI" w:cs="Segoe UI"/>
          <w:color w:val="0F1115"/>
          <w:sz w:val="24"/>
          <w:szCs w:val="24"/>
          <w:shd w:val="clear" w:color="auto" w:fill="FFFFFF"/>
        </w:rPr>
        <w:t>浪潮集团</w:t>
      </w:r>
      <w:r>
        <w:rPr>
          <w:rFonts w:hint="eastAsia" w:ascii="Segoe UI" w:hAnsi="Segoe UI" w:eastAsia="宋体" w:cs="Segoe UI"/>
          <w:color w:val="0F1115"/>
          <w:sz w:val="24"/>
          <w:szCs w:val="24"/>
          <w:shd w:val="clear" w:color="auto" w:fill="FFFFFF"/>
        </w:rPr>
        <w:t>、</w:t>
      </w:r>
      <w:r>
        <w:rPr>
          <w:rFonts w:ascii="Segoe UI" w:hAnsi="Segoe UI" w:eastAsia="Segoe UI" w:cs="Segoe UI"/>
          <w:color w:val="0F1115"/>
          <w:sz w:val="24"/>
          <w:szCs w:val="24"/>
          <w:shd w:val="clear" w:color="auto" w:fill="FFFFFF"/>
        </w:rPr>
        <w:t>广州金融科技</w:t>
      </w:r>
      <w:r>
        <w:rPr>
          <w:rFonts w:hint="eastAsia" w:ascii="Segoe UI" w:hAnsi="Segoe UI" w:eastAsia="宋体" w:cs="Segoe UI"/>
          <w:color w:val="0F1115"/>
          <w:sz w:val="24"/>
          <w:szCs w:val="24"/>
          <w:shd w:val="clear" w:color="auto" w:fill="FFFFFF"/>
        </w:rPr>
        <w:t>、中粮科工、</w:t>
      </w:r>
      <w:r>
        <w:rPr>
          <w:rFonts w:ascii="Segoe UI" w:hAnsi="Segoe UI" w:eastAsia="Segoe UI" w:cs="Segoe UI"/>
          <w:color w:val="0F1115"/>
          <w:sz w:val="24"/>
          <w:szCs w:val="24"/>
          <w:shd w:val="clear" w:color="auto" w:fill="FFFFFF"/>
        </w:rPr>
        <w:t>天安数码城</w:t>
      </w:r>
      <w:r>
        <w:rPr>
          <w:rFonts w:hint="eastAsia" w:ascii="Segoe UI" w:hAnsi="Segoe UI" w:eastAsia="宋体" w:cs="Segoe UI"/>
          <w:color w:val="0F1115"/>
          <w:sz w:val="24"/>
          <w:szCs w:val="24"/>
          <w:shd w:val="clear" w:color="auto" w:fill="FFFFFF"/>
        </w:rPr>
        <w:t>、</w:t>
      </w:r>
      <w:r>
        <w:rPr>
          <w:rFonts w:ascii="Segoe UI" w:hAnsi="Segoe UI" w:eastAsia="Segoe UI" w:cs="Segoe UI"/>
          <w:color w:val="0F1115"/>
          <w:sz w:val="24"/>
          <w:szCs w:val="24"/>
          <w:shd w:val="clear" w:color="auto" w:fill="FFFFFF"/>
        </w:rPr>
        <w:t>水控发展</w:t>
      </w:r>
      <w:r>
        <w:rPr>
          <w:rFonts w:hint="eastAsia" w:ascii="Segoe UI" w:hAnsi="Segoe UI" w:eastAsia="宋体" w:cs="Segoe UI"/>
          <w:color w:val="0F1115"/>
          <w:sz w:val="24"/>
          <w:szCs w:val="24"/>
          <w:shd w:val="clear" w:color="auto" w:fill="FFFFFF"/>
        </w:rPr>
        <w:t>、</w:t>
      </w:r>
      <w:r>
        <w:rPr>
          <w:rFonts w:ascii="Segoe UI" w:hAnsi="Segoe UI" w:eastAsia="Segoe UI" w:cs="Segoe UI"/>
          <w:color w:val="0F1115"/>
          <w:sz w:val="24"/>
          <w:szCs w:val="24"/>
          <w:shd w:val="clear" w:color="auto" w:fill="FFFFFF"/>
        </w:rPr>
        <w:t>广州市自来水</w:t>
      </w:r>
      <w:r>
        <w:rPr>
          <w:rFonts w:hint="eastAsia" w:ascii="Segoe UI" w:hAnsi="Segoe UI" w:eastAsia="宋体" w:cs="Segoe UI"/>
          <w:color w:val="0F1115"/>
          <w:sz w:val="24"/>
          <w:szCs w:val="24"/>
          <w:shd w:val="clear" w:color="auto" w:fill="FFFFFF"/>
        </w:rPr>
        <w:t>、</w:t>
      </w:r>
      <w:r>
        <w:rPr>
          <w:rFonts w:ascii="Segoe UI" w:hAnsi="Segoe UI" w:eastAsia="Segoe UI" w:cs="Segoe UI"/>
          <w:color w:val="0F1115"/>
          <w:sz w:val="24"/>
          <w:szCs w:val="24"/>
          <w:shd w:val="clear" w:color="auto" w:fill="FFFFFF"/>
        </w:rPr>
        <w:t>深圳燃气</w:t>
      </w:r>
      <w:r>
        <w:rPr>
          <w:rFonts w:hint="eastAsia" w:ascii="Segoe UI" w:hAnsi="Segoe UI" w:eastAsia="宋体" w:cs="Segoe UI"/>
          <w:color w:val="0F1115"/>
          <w:sz w:val="24"/>
          <w:szCs w:val="24"/>
          <w:shd w:val="clear" w:color="auto" w:fill="FFFFFF"/>
        </w:rPr>
        <w:t>、</w:t>
      </w:r>
      <w:r>
        <w:rPr>
          <w:rFonts w:ascii="Segoe UI" w:hAnsi="Segoe UI" w:eastAsia="Segoe UI" w:cs="Segoe UI"/>
          <w:color w:val="0F1115"/>
          <w:sz w:val="24"/>
          <w:szCs w:val="24"/>
          <w:shd w:val="clear" w:color="auto" w:fill="FFFFFF"/>
        </w:rPr>
        <w:t>中国燃气控股</w:t>
      </w:r>
      <w:r>
        <w:rPr>
          <w:rFonts w:hint="eastAsia" w:ascii="Segoe UI" w:hAnsi="Segoe UI" w:eastAsia="宋体" w:cs="Segoe UI"/>
          <w:color w:val="0F1115"/>
          <w:sz w:val="24"/>
          <w:szCs w:val="24"/>
          <w:shd w:val="clear" w:color="auto" w:fill="FFFFFF"/>
        </w:rPr>
        <w:t>、</w:t>
      </w:r>
      <w:r>
        <w:rPr>
          <w:rFonts w:ascii="Segoe UI" w:hAnsi="Segoe UI" w:eastAsia="Segoe UI" w:cs="Segoe UI"/>
          <w:color w:val="0F1115"/>
          <w:sz w:val="24"/>
          <w:szCs w:val="24"/>
          <w:shd w:val="clear" w:color="auto" w:fill="FFFFFF"/>
        </w:rPr>
        <w:t>恒洁卫浴集团</w:t>
      </w:r>
      <w:r>
        <w:rPr>
          <w:rFonts w:hint="eastAsia" w:ascii="Segoe UI" w:hAnsi="Segoe UI" w:eastAsia="宋体" w:cs="Segoe UI"/>
          <w:color w:val="0F1115"/>
          <w:sz w:val="24"/>
          <w:szCs w:val="24"/>
          <w:shd w:val="clear" w:color="auto" w:fill="FFFFFF"/>
        </w:rPr>
        <w:t>、</w:t>
      </w:r>
      <w:r>
        <w:rPr>
          <w:rFonts w:ascii="Segoe UI" w:hAnsi="Segoe UI" w:eastAsia="Segoe UI" w:cs="Segoe UI"/>
          <w:color w:val="0F1115"/>
          <w:sz w:val="24"/>
          <w:szCs w:val="24"/>
          <w:shd w:val="clear" w:color="auto" w:fill="FFFFFF"/>
        </w:rPr>
        <w:t>顾家家居</w:t>
      </w:r>
      <w:r>
        <w:rPr>
          <w:rFonts w:hint="eastAsia" w:ascii="Segoe UI" w:hAnsi="Segoe UI" w:eastAsia="宋体" w:cs="Segoe UI"/>
          <w:color w:val="0F1115"/>
          <w:sz w:val="24"/>
          <w:szCs w:val="24"/>
          <w:shd w:val="clear" w:color="auto" w:fill="FFFFFF"/>
        </w:rPr>
        <w:t>、</w:t>
      </w:r>
      <w:r>
        <w:rPr>
          <w:rFonts w:ascii="Segoe UI" w:hAnsi="Segoe UI" w:eastAsia="Segoe UI" w:cs="Segoe UI"/>
          <w:color w:val="0F1115"/>
          <w:sz w:val="24"/>
          <w:szCs w:val="24"/>
          <w:shd w:val="clear" w:color="auto" w:fill="FFFFFF"/>
        </w:rPr>
        <w:t>中化石油</w:t>
      </w:r>
      <w:r>
        <w:rPr>
          <w:rFonts w:hint="eastAsia" w:ascii="Segoe UI" w:hAnsi="Segoe UI" w:eastAsia="宋体" w:cs="Segoe UI"/>
          <w:color w:val="0F1115"/>
          <w:sz w:val="24"/>
          <w:szCs w:val="24"/>
          <w:shd w:val="clear" w:color="auto" w:fill="FFFFFF"/>
        </w:rPr>
        <w:t>、</w:t>
      </w:r>
      <w:r>
        <w:rPr>
          <w:rFonts w:ascii="Segoe UI" w:hAnsi="Segoe UI" w:eastAsia="Segoe UI" w:cs="Segoe UI"/>
          <w:color w:val="0F1115"/>
          <w:sz w:val="24"/>
          <w:szCs w:val="24"/>
          <w:shd w:val="clear" w:color="auto" w:fill="FFFFFF"/>
        </w:rPr>
        <w:t>默克化工</w:t>
      </w:r>
      <w:r>
        <w:rPr>
          <w:rFonts w:hint="eastAsia" w:ascii="Segoe UI" w:hAnsi="Segoe UI" w:eastAsia="宋体" w:cs="Segoe UI"/>
          <w:color w:val="0F1115"/>
          <w:sz w:val="24"/>
          <w:szCs w:val="24"/>
          <w:shd w:val="clear" w:color="auto" w:fill="FFFFFF"/>
        </w:rPr>
        <w:t>、</w:t>
      </w:r>
      <w:r>
        <w:rPr>
          <w:rFonts w:ascii="Segoe UI" w:hAnsi="Segoe UI" w:eastAsia="Segoe UI" w:cs="Segoe UI"/>
          <w:color w:val="0F1115"/>
          <w:sz w:val="24"/>
          <w:szCs w:val="24"/>
          <w:shd w:val="clear" w:color="auto" w:fill="FFFFFF"/>
        </w:rPr>
        <w:t>中石化湖南石油</w:t>
      </w:r>
      <w:r>
        <w:rPr>
          <w:rFonts w:hint="eastAsia" w:ascii="Segoe UI" w:hAnsi="Segoe UI" w:eastAsia="宋体" w:cs="Segoe UI"/>
          <w:color w:val="0F1115"/>
          <w:sz w:val="24"/>
          <w:szCs w:val="24"/>
          <w:shd w:val="clear" w:color="auto" w:fill="FFFFFF"/>
        </w:rPr>
        <w:t>、海洋石油工程、</w:t>
      </w:r>
      <w:r>
        <w:rPr>
          <w:rFonts w:ascii="Segoe UI" w:hAnsi="Segoe UI" w:eastAsia="Segoe UI" w:cs="Segoe UI"/>
          <w:color w:val="0F1115"/>
          <w:sz w:val="24"/>
          <w:szCs w:val="24"/>
          <w:shd w:val="clear" w:color="auto" w:fill="FFFFFF"/>
        </w:rPr>
        <w:t>中国邮政</w:t>
      </w:r>
      <w:r>
        <w:rPr>
          <w:rFonts w:hint="eastAsia" w:ascii="Segoe UI" w:hAnsi="Segoe UI" w:eastAsia="宋体" w:cs="Segoe UI"/>
          <w:color w:val="0F1115"/>
          <w:sz w:val="24"/>
          <w:szCs w:val="24"/>
          <w:shd w:val="clear" w:color="auto" w:fill="FFFFFF"/>
        </w:rPr>
        <w:t>、</w:t>
      </w:r>
      <w:r>
        <w:rPr>
          <w:rFonts w:ascii="Segoe UI" w:hAnsi="Segoe UI" w:eastAsia="Segoe UI" w:cs="Segoe UI"/>
          <w:color w:val="0F1115"/>
          <w:sz w:val="24"/>
          <w:szCs w:val="24"/>
          <w:shd w:val="clear" w:color="auto" w:fill="FFFFFF"/>
        </w:rPr>
        <w:t>伟世博货运</w:t>
      </w:r>
      <w:r>
        <w:rPr>
          <w:rFonts w:hint="eastAsia" w:ascii="Segoe UI" w:hAnsi="Segoe UI" w:eastAsia="宋体" w:cs="Segoe UI"/>
          <w:color w:val="0F1115"/>
          <w:sz w:val="24"/>
          <w:szCs w:val="24"/>
          <w:shd w:val="clear" w:color="auto" w:fill="FFFFFF"/>
        </w:rPr>
        <w:t>、</w:t>
      </w:r>
      <w:r>
        <w:rPr>
          <w:rFonts w:ascii="Segoe UI" w:hAnsi="Segoe UI" w:eastAsia="Segoe UI" w:cs="Segoe UI"/>
          <w:color w:val="0F1115"/>
          <w:sz w:val="24"/>
          <w:szCs w:val="24"/>
          <w:shd w:val="clear" w:color="auto" w:fill="FFFFFF"/>
        </w:rPr>
        <w:t>上海勋厚人力资源</w:t>
      </w:r>
      <w:r>
        <w:rPr>
          <w:rFonts w:hint="eastAsia" w:ascii="Segoe UI" w:hAnsi="Segoe UI" w:eastAsia="宋体" w:cs="Segoe UI"/>
          <w:color w:val="0F1115"/>
          <w:sz w:val="24"/>
          <w:szCs w:val="24"/>
          <w:shd w:val="clear" w:color="auto" w:fill="FFFFFF"/>
        </w:rPr>
        <w:t>、</w:t>
      </w:r>
      <w:r>
        <w:rPr>
          <w:rFonts w:ascii="Segoe UI" w:hAnsi="Segoe UI" w:eastAsia="Segoe UI" w:cs="Segoe UI"/>
          <w:color w:val="0F1115"/>
          <w:sz w:val="24"/>
          <w:szCs w:val="24"/>
          <w:shd w:val="clear" w:color="auto" w:fill="FFFFFF"/>
        </w:rPr>
        <w:t>普芮米卡勒数码影像</w:t>
      </w:r>
      <w:r>
        <w:rPr>
          <w:rFonts w:hint="eastAsia" w:ascii="Segoe UI" w:hAnsi="Segoe UI" w:eastAsia="宋体" w:cs="Segoe UI"/>
          <w:color w:val="0F1115"/>
          <w:sz w:val="24"/>
          <w:szCs w:val="24"/>
          <w:shd w:val="clear" w:color="auto" w:fill="FFFFFF"/>
        </w:rPr>
        <w:t>、</w:t>
      </w:r>
      <w:r>
        <w:rPr>
          <w:rFonts w:ascii="Segoe UI" w:hAnsi="Segoe UI" w:eastAsia="Segoe UI" w:cs="Segoe UI"/>
          <w:color w:val="0F1115"/>
          <w:sz w:val="24"/>
          <w:szCs w:val="24"/>
          <w:shd w:val="clear" w:color="auto" w:fill="FFFFFF"/>
        </w:rPr>
        <w:t>丽珠制药厂</w:t>
      </w:r>
      <w:r>
        <w:rPr>
          <w:rFonts w:hint="eastAsia" w:ascii="Segoe UI" w:hAnsi="Segoe UI" w:eastAsia="宋体" w:cs="Segoe UI"/>
          <w:color w:val="0F1115"/>
          <w:sz w:val="24"/>
          <w:szCs w:val="24"/>
          <w:shd w:val="clear" w:color="auto" w:fill="FFFFFF"/>
        </w:rPr>
        <w:t>、</w:t>
      </w:r>
      <w:r>
        <w:rPr>
          <w:rFonts w:ascii="Segoe UI" w:hAnsi="Segoe UI" w:eastAsia="Segoe UI" w:cs="Segoe UI"/>
          <w:color w:val="0F1115"/>
          <w:sz w:val="24"/>
          <w:szCs w:val="24"/>
          <w:shd w:val="clear" w:color="auto" w:fill="FFFFFF"/>
        </w:rPr>
        <w:t>深业健康</w:t>
      </w:r>
      <w:r>
        <w:rPr>
          <w:rFonts w:hint="eastAsia" w:ascii="Segoe UI" w:hAnsi="Segoe UI" w:eastAsia="宋体" w:cs="Segoe UI"/>
          <w:color w:val="0F1115"/>
          <w:sz w:val="24"/>
          <w:szCs w:val="24"/>
          <w:shd w:val="clear" w:color="auto" w:fill="FFFFFF"/>
        </w:rPr>
        <w:t>、</w:t>
      </w:r>
      <w:r>
        <w:rPr>
          <w:rFonts w:ascii="Segoe UI" w:hAnsi="Segoe UI" w:eastAsia="Segoe UI" w:cs="Segoe UI"/>
          <w:color w:val="0F1115"/>
          <w:sz w:val="24"/>
          <w:szCs w:val="24"/>
          <w:shd w:val="clear" w:color="auto" w:fill="FFFFFF"/>
        </w:rPr>
        <w:t>深圳医学科学院</w:t>
      </w:r>
      <w:r>
        <w:rPr>
          <w:rFonts w:hint="eastAsia" w:ascii="Segoe UI" w:hAnsi="Segoe UI" w:eastAsia="宋体" w:cs="Segoe UI"/>
          <w:color w:val="0F1115"/>
          <w:sz w:val="24"/>
          <w:szCs w:val="24"/>
          <w:shd w:val="clear" w:color="auto" w:fill="FFFFFF"/>
        </w:rPr>
        <w:t>、</w:t>
      </w:r>
      <w:r>
        <w:rPr>
          <w:rFonts w:ascii="Segoe UI" w:hAnsi="Segoe UI" w:eastAsia="Segoe UI" w:cs="Segoe UI"/>
          <w:color w:val="0F1115"/>
          <w:sz w:val="24"/>
          <w:szCs w:val="24"/>
          <w:shd w:val="clear" w:color="auto" w:fill="FFFFFF"/>
        </w:rPr>
        <w:t>福建叶投资</w:t>
      </w:r>
      <w:r>
        <w:rPr>
          <w:rFonts w:hint="eastAsia" w:ascii="Segoe UI" w:hAnsi="Segoe UI" w:eastAsia="宋体" w:cs="Segoe UI"/>
          <w:color w:val="0F1115"/>
          <w:sz w:val="24"/>
          <w:szCs w:val="24"/>
          <w:shd w:val="clear" w:color="auto" w:fill="FFFFFF"/>
        </w:rPr>
        <w:t>、</w:t>
      </w:r>
      <w:r>
        <w:rPr>
          <w:rFonts w:ascii="Segoe UI" w:hAnsi="Segoe UI" w:eastAsia="Segoe UI" w:cs="Segoe UI"/>
          <w:color w:val="0F1115"/>
          <w:sz w:val="24"/>
          <w:szCs w:val="24"/>
          <w:shd w:val="clear" w:color="auto" w:fill="FFFFFF"/>
        </w:rPr>
        <w:t>东糖投资</w:t>
      </w:r>
      <w:r>
        <w:rPr>
          <w:rFonts w:hint="eastAsia" w:ascii="Segoe UI" w:hAnsi="Segoe UI" w:eastAsia="宋体" w:cs="Segoe UI"/>
          <w:color w:val="0F1115"/>
          <w:sz w:val="24"/>
          <w:szCs w:val="24"/>
          <w:shd w:val="clear" w:color="auto" w:fill="FFFFFF"/>
        </w:rPr>
        <w:t>、</w:t>
      </w:r>
      <w:r>
        <w:rPr>
          <w:rFonts w:ascii="Segoe UI" w:hAnsi="Segoe UI" w:eastAsia="Segoe UI" w:cs="Segoe UI"/>
          <w:color w:val="0F1115"/>
          <w:sz w:val="24"/>
          <w:szCs w:val="24"/>
          <w:shd w:val="clear" w:color="auto" w:fill="FFFFFF"/>
        </w:rPr>
        <w:t>江西铜业</w:t>
      </w:r>
      <w:r>
        <w:rPr>
          <w:rFonts w:hint="eastAsia" w:ascii="Segoe UI" w:hAnsi="Segoe UI" w:eastAsia="宋体" w:cs="Segoe UI"/>
          <w:color w:val="0F1115"/>
          <w:sz w:val="24"/>
          <w:szCs w:val="24"/>
          <w:shd w:val="clear" w:color="auto" w:fill="FFFFFF"/>
        </w:rPr>
        <w:t>、广东省企业家协会、</w:t>
      </w:r>
      <w:r>
        <w:rPr>
          <w:rFonts w:ascii="Segoe UI" w:hAnsi="Segoe UI" w:eastAsia="Segoe UI" w:cs="Segoe UI"/>
          <w:color w:val="0F1115"/>
          <w:sz w:val="24"/>
          <w:szCs w:val="24"/>
          <w:shd w:val="clear" w:color="auto" w:fill="FFFFFF"/>
        </w:rPr>
        <w:t>中粮长城酒业</w:t>
      </w:r>
      <w:r>
        <w:rPr>
          <w:rFonts w:hint="eastAsia" w:ascii="Segoe UI" w:hAnsi="Segoe UI" w:eastAsia="宋体" w:cs="Segoe UI"/>
          <w:color w:val="0F1115"/>
          <w:sz w:val="24"/>
          <w:szCs w:val="24"/>
          <w:shd w:val="clear" w:color="auto" w:fill="FFFFFF"/>
        </w:rPr>
        <w:t>、</w:t>
      </w:r>
      <w:r>
        <w:rPr>
          <w:rFonts w:ascii="Segoe UI" w:hAnsi="Segoe UI" w:eastAsia="Segoe UI" w:cs="Segoe UI"/>
          <w:color w:val="0F1115"/>
          <w:sz w:val="24"/>
          <w:szCs w:val="24"/>
          <w:shd w:val="clear" w:color="auto" w:fill="FFFFFF"/>
        </w:rPr>
        <w:t>佛山传媒集团</w:t>
      </w:r>
      <w:r>
        <w:rPr>
          <w:rFonts w:hint="eastAsia" w:ascii="Segoe UI" w:hAnsi="Segoe UI" w:eastAsia="宋体" w:cs="Segoe UI"/>
          <w:color w:val="0F1115"/>
          <w:sz w:val="24"/>
          <w:szCs w:val="24"/>
          <w:shd w:val="clear" w:color="auto" w:fill="FFFFFF"/>
        </w:rPr>
        <w:t>、</w:t>
      </w:r>
      <w:r>
        <w:rPr>
          <w:rFonts w:ascii="Segoe UI" w:hAnsi="Segoe UI" w:eastAsia="Segoe UI" w:cs="Segoe UI"/>
          <w:color w:val="0F1115"/>
          <w:sz w:val="24"/>
          <w:szCs w:val="24"/>
          <w:shd w:val="clear" w:color="auto" w:fill="FFFFFF"/>
        </w:rPr>
        <w:t>潮州市人力资源</w:t>
      </w:r>
      <w:r>
        <w:rPr>
          <w:rFonts w:hint="eastAsia" w:ascii="Segoe UI" w:hAnsi="Segoe UI" w:eastAsia="宋体" w:cs="Segoe UI"/>
          <w:color w:val="0F1115"/>
          <w:sz w:val="24"/>
          <w:szCs w:val="24"/>
          <w:shd w:val="clear" w:color="auto" w:fill="FFFFFF"/>
        </w:rPr>
        <w:t>、洛阳市工业和信息化局、</w:t>
      </w:r>
      <w:r>
        <w:rPr>
          <w:rFonts w:ascii="Segoe UI" w:hAnsi="Segoe UI" w:eastAsia="Segoe UI" w:cs="Segoe UI"/>
          <w:color w:val="0F1115"/>
          <w:sz w:val="24"/>
          <w:szCs w:val="24"/>
          <w:shd w:val="clear" w:color="auto" w:fill="FFFFFF"/>
        </w:rPr>
        <w:t>芽状元</w:t>
      </w:r>
      <w:r>
        <w:rPr>
          <w:rFonts w:hint="eastAsia" w:ascii="Segoe UI" w:hAnsi="Segoe UI" w:eastAsia="宋体" w:cs="Segoe UI"/>
          <w:color w:val="0F1115"/>
          <w:sz w:val="24"/>
          <w:szCs w:val="24"/>
          <w:shd w:val="clear" w:color="auto" w:fill="FFFFFF"/>
        </w:rPr>
        <w:t>、广州交易集团、华电新疆发电</w:t>
      </w:r>
      <w:r>
        <w:rPr>
          <w:rFonts w:ascii="宋体" w:hAnsi="宋体" w:eastAsia="宋体"/>
          <w:sz w:val="24"/>
          <w:szCs w:val="24"/>
        </w:rPr>
        <w:t>……</w:t>
      </w:r>
    </w:p>
    <w:p w14:paraId="684B720C">
      <w:pPr>
        <w:spacing w:line="360" w:lineRule="auto"/>
        <w:rPr>
          <w:rFonts w:hint="eastAsia" w:ascii="宋体" w:hAnsi="宋体" w:eastAsia="宋体"/>
          <w:sz w:val="24"/>
          <w:szCs w:val="24"/>
        </w:rPr>
      </w:pPr>
    </w:p>
    <w:p w14:paraId="31631A64">
      <w:pPr>
        <w:spacing w:line="480" w:lineRule="exact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部分客户评价：</w:t>
      </w:r>
    </w:p>
    <w:p w14:paraId="41F8349C">
      <w:pPr>
        <w:spacing w:line="480" w:lineRule="exac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苏老师的培训，很快乐！老师的风趣、激情感染着整个课堂，互动、交流与现场的实践让学习的过程充满成就感，使求知变成一个快乐的过程。</w:t>
      </w:r>
    </w:p>
    <w:p w14:paraId="6A072D0B">
      <w:pPr>
        <w:spacing w:line="480" w:lineRule="exact"/>
        <w:jc w:val="right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——</w:t>
      </w:r>
      <w:r>
        <w:rPr>
          <w:rFonts w:ascii="宋体" w:hAnsi="宋体" w:eastAsia="宋体"/>
          <w:b/>
          <w:bCs/>
          <w:sz w:val="24"/>
          <w:szCs w:val="24"/>
        </w:rPr>
        <w:t>智联招聘</w:t>
      </w:r>
      <w:r>
        <w:rPr>
          <w:rFonts w:hint="eastAsia" w:ascii="宋体" w:hAnsi="宋体" w:eastAsia="宋体"/>
          <w:b/>
          <w:bCs/>
          <w:sz w:val="24"/>
          <w:szCs w:val="24"/>
        </w:rPr>
        <w:t xml:space="preserve"> </w:t>
      </w:r>
      <w:r>
        <w:rPr>
          <w:rFonts w:ascii="宋体" w:hAnsi="宋体" w:eastAsia="宋体"/>
          <w:b/>
          <w:bCs/>
          <w:sz w:val="24"/>
          <w:szCs w:val="24"/>
        </w:rPr>
        <w:t>聂总监</w:t>
      </w:r>
    </w:p>
    <w:p w14:paraId="3058002C">
      <w:pPr>
        <w:spacing w:line="480" w:lineRule="exac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在学习苏老师课程之前，我们企业也参加过很多次学习，每次听的时候都热血沸腾，可是回到工作岗位都没了作用，但是通过本次学习，使我们转变了观念，真正提高了认识，得到了实用的工具，使企业真实受益良多。</w:t>
      </w:r>
    </w:p>
    <w:p w14:paraId="3B0B7785">
      <w:pPr>
        <w:spacing w:line="480" w:lineRule="exact"/>
        <w:jc w:val="right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——顺丰速运客服部 李经理</w:t>
      </w:r>
    </w:p>
    <w:p w14:paraId="41F4F37F">
      <w:pPr>
        <w:spacing w:line="480" w:lineRule="exac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上了苏老师的课，收获很大，在激励方面我们原来认识不大清楚，我们企业就是以基本工资为主，不知道薪酬中有这么多激发人的潜动力的作用，能把人的潜能挖据出来，课程给我门提供一套高效激活人才的条统，我的收获非常大！</w:t>
      </w:r>
    </w:p>
    <w:p w14:paraId="6D2E223B">
      <w:pPr>
        <w:spacing w:line="480" w:lineRule="exact"/>
        <w:jc w:val="right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——</w:t>
      </w:r>
      <w:r>
        <w:rPr>
          <w:rFonts w:ascii="宋体" w:hAnsi="宋体" w:eastAsia="宋体"/>
          <w:b/>
          <w:bCs/>
          <w:sz w:val="24"/>
          <w:szCs w:val="24"/>
        </w:rPr>
        <w:t>洲际酒店HR 谢经理</w:t>
      </w:r>
    </w:p>
    <w:p w14:paraId="1DE41C22">
      <w:pPr>
        <w:spacing w:line="480" w:lineRule="exac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这次培训使我们受益浅，苏老师的课程安排如同为我们量身定做的一样，所讲到的都是我们目前所面临着，却不知如何解决的问题；这次培训收获很大的提示和指导，以后工作一定会按照这些方法来执行，能够听到苏老师的课感到非常荣幸。</w:t>
      </w:r>
    </w:p>
    <w:p w14:paraId="53181101">
      <w:pPr>
        <w:spacing w:line="480" w:lineRule="exact"/>
        <w:jc w:val="right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——</w:t>
      </w:r>
      <w:r>
        <w:rPr>
          <w:rFonts w:ascii="宋体" w:hAnsi="宋体" w:eastAsia="宋体"/>
          <w:b/>
          <w:bCs/>
          <w:sz w:val="24"/>
          <w:szCs w:val="24"/>
        </w:rPr>
        <w:t>致欧科技供应链</w:t>
      </w:r>
      <w:r>
        <w:rPr>
          <w:rFonts w:hint="eastAsia" w:ascii="宋体" w:hAnsi="宋体" w:eastAsia="宋体"/>
          <w:b/>
          <w:bCs/>
          <w:sz w:val="24"/>
          <w:szCs w:val="24"/>
        </w:rPr>
        <w:t xml:space="preserve"> </w:t>
      </w:r>
      <w:r>
        <w:rPr>
          <w:rFonts w:ascii="宋体" w:hAnsi="宋体" w:eastAsia="宋体"/>
          <w:b/>
          <w:bCs/>
          <w:sz w:val="24"/>
          <w:szCs w:val="24"/>
        </w:rPr>
        <w:t>张经理</w:t>
      </w:r>
    </w:p>
    <w:p w14:paraId="5D51263C">
      <w:pPr>
        <w:spacing w:line="480" w:lineRule="exac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学习了苏老师的绩效薪酬课程之后，管理的逻辑思维得到增强。以往也参加了太多的学习，相比这下，老师的课程太实用了。以往不条统，学的是断断续续，以前做法也不科学，现在更加科学化。最关键的是让我在学习之后效率得到大大的实破，这真是一套做大的系统。没有它一定做不大，所以我们接下来从儿十家店到几百家店，非常的有信心！</w:t>
      </w:r>
    </w:p>
    <w:p w14:paraId="0D34A198">
      <w:pPr>
        <w:spacing w:line="480" w:lineRule="exact"/>
        <w:jc w:val="right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——</w:t>
      </w:r>
      <w:r>
        <w:rPr>
          <w:rFonts w:ascii="宋体" w:hAnsi="宋体" w:eastAsia="宋体"/>
          <w:b/>
          <w:bCs/>
          <w:sz w:val="24"/>
          <w:szCs w:val="24"/>
        </w:rPr>
        <w:t>金宝贝</w:t>
      </w:r>
      <w:r>
        <w:rPr>
          <w:rFonts w:hint="eastAsia" w:ascii="宋体" w:hAnsi="宋体" w:eastAsia="宋体"/>
          <w:b/>
          <w:bCs/>
          <w:sz w:val="24"/>
          <w:szCs w:val="24"/>
        </w:rPr>
        <w:t xml:space="preserve"> </w:t>
      </w:r>
      <w:r>
        <w:rPr>
          <w:rFonts w:ascii="宋体" w:hAnsi="宋体" w:eastAsia="宋体"/>
          <w:b/>
          <w:bCs/>
          <w:sz w:val="24"/>
          <w:szCs w:val="24"/>
        </w:rPr>
        <w:t>王总监</w:t>
      </w:r>
    </w:p>
    <w:p w14:paraId="3727F6DF">
      <w:pPr>
        <w:spacing w:line="480" w:lineRule="exac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明确企业要壮大的基本条件，改变思路和想法，给自已真正的补了一课，收获一套非常适用工具。坚定了改革的决心、了解到了先进的管理工具，真正打开了思路，为我们管理思路的突破，有了质的跨越</w:t>
      </w:r>
    </w:p>
    <w:p w14:paraId="13369AC3">
      <w:pPr>
        <w:spacing w:line="480" w:lineRule="exact"/>
        <w:jc w:val="right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——</w:t>
      </w:r>
      <w:r>
        <w:rPr>
          <w:rFonts w:ascii="宋体" w:hAnsi="宋体" w:eastAsia="宋体"/>
          <w:b/>
          <w:bCs/>
          <w:sz w:val="24"/>
          <w:szCs w:val="24"/>
        </w:rPr>
        <w:t>金汇金融 孙总</w:t>
      </w:r>
    </w:p>
    <w:p w14:paraId="30DBE4D6">
      <w:pPr>
        <w:spacing w:line="480" w:lineRule="exac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我得到了一片让企业再次跨越的肥次土地，我坚信在这土地上能够吸引优良的种子并能让其茁壮成长，扎根长青！同时我还在收获了一颗颗带着真爱的温暖之心，感谢苏老师！</w:t>
      </w:r>
    </w:p>
    <w:p w14:paraId="7EE6AFD8">
      <w:pPr>
        <w:spacing w:line="480" w:lineRule="exact"/>
        <w:jc w:val="right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——</w:t>
      </w:r>
      <w:r>
        <w:rPr>
          <w:rFonts w:ascii="宋体" w:hAnsi="宋体" w:eastAsia="宋体"/>
          <w:b/>
          <w:bCs/>
          <w:sz w:val="24"/>
          <w:szCs w:val="24"/>
        </w:rPr>
        <w:t>爱丽舍家具HR 周经理</w:t>
      </w:r>
    </w:p>
    <w:p w14:paraId="72F4E3F5">
      <w:pPr>
        <w:spacing w:line="480" w:lineRule="exact"/>
        <w:jc w:val="left"/>
        <w:rPr>
          <w:rFonts w:hint="eastAsia" w:ascii="宋体" w:hAnsi="宋体" w:eastAsia="宋体"/>
          <w:b/>
          <w:bCs/>
          <w:sz w:val="24"/>
          <w:szCs w:val="24"/>
          <w:highlight w:val="yellow"/>
        </w:rPr>
      </w:pPr>
    </w:p>
    <w:p w14:paraId="37DA1CD3">
      <w:pPr>
        <w:spacing w:line="480" w:lineRule="exact"/>
        <w:jc w:val="left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部分授课照片：</w:t>
      </w:r>
    </w:p>
    <w:tbl>
      <w:tblPr>
        <w:tblStyle w:val="17"/>
        <w:tblW w:w="0" w:type="auto"/>
        <w:tblInd w:w="0" w:type="dxa"/>
        <w:tblBorders>
          <w:top w:val="single" w:color="BEBEBE" w:themeColor="background1" w:themeShade="BF" w:sz="4" w:space="0"/>
          <w:left w:val="single" w:color="BEBEBE" w:themeColor="background1" w:themeShade="BF" w:sz="4" w:space="0"/>
          <w:bottom w:val="single" w:color="BEBEBE" w:themeColor="background1" w:themeShade="BF" w:sz="4" w:space="0"/>
          <w:right w:val="single" w:color="BEBEBE" w:themeColor="background1" w:themeShade="BF" w:sz="4" w:space="0"/>
          <w:insideH w:val="single" w:color="BEBEBE" w:themeColor="background1" w:themeShade="BF" w:sz="4" w:space="0"/>
          <w:insideV w:val="single" w:color="BEBEBE" w:themeColor="background1" w:themeShade="BF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0"/>
        <w:gridCol w:w="4754"/>
      </w:tblGrid>
      <w:tr w14:paraId="6456457B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0" w:hRule="atLeast"/>
        </w:trPr>
        <w:tc>
          <w:tcPr>
            <w:tcW w:w="5100" w:type="dxa"/>
          </w:tcPr>
          <w:p w14:paraId="4590970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8" name="图片 8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4" w:type="dxa"/>
          </w:tcPr>
          <w:p w14:paraId="56FDDEB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9" name="图片 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8AF795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100" w:type="dxa"/>
          </w:tcPr>
          <w:p w14:paraId="5CB47D90">
            <w:pPr>
              <w:spacing w:line="3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中国检验认证集团</w:t>
            </w:r>
          </w:p>
          <w:p w14:paraId="1341DD26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《战略目标到绩效指标的分解》</w:t>
            </w:r>
          </w:p>
        </w:tc>
        <w:tc>
          <w:tcPr>
            <w:tcW w:w="4754" w:type="dxa"/>
          </w:tcPr>
          <w:p w14:paraId="60CDBA7E">
            <w:pPr>
              <w:spacing w:line="3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海洋石油工程</w:t>
            </w:r>
          </w:p>
          <w:p w14:paraId="4F785CBF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《国际化战略下的人力资源管理》</w:t>
            </w:r>
          </w:p>
        </w:tc>
      </w:tr>
      <w:tr w14:paraId="5DCFC769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0" w:hRule="atLeast"/>
        </w:trPr>
        <w:tc>
          <w:tcPr>
            <w:tcW w:w="5100" w:type="dxa"/>
          </w:tcPr>
          <w:p w14:paraId="0948F41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6" name="图片 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4" w:type="dxa"/>
          </w:tcPr>
          <w:p w14:paraId="4EC7B0A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7" name="图片 7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5DFCA5F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5100" w:type="dxa"/>
          </w:tcPr>
          <w:p w14:paraId="0721E675">
            <w:pPr>
              <w:spacing w:line="3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广州白云机场</w:t>
            </w:r>
          </w:p>
          <w:p w14:paraId="3A92CBC7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《非人力资源的人力资源管理》</w:t>
            </w:r>
          </w:p>
        </w:tc>
        <w:tc>
          <w:tcPr>
            <w:tcW w:w="4754" w:type="dxa"/>
          </w:tcPr>
          <w:p w14:paraId="2CA070C1">
            <w:pPr>
              <w:spacing w:line="36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中国能源建设</w:t>
            </w:r>
          </w:p>
          <w:p w14:paraId="22125F53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《趋势解读+劳动法合规全案指引》</w:t>
            </w:r>
          </w:p>
        </w:tc>
      </w:tr>
      <w:tr w14:paraId="259DB577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0" w:hRule="atLeast"/>
        </w:trPr>
        <w:tc>
          <w:tcPr>
            <w:tcW w:w="5100" w:type="dxa"/>
          </w:tcPr>
          <w:p w14:paraId="65636278">
            <w:pPr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4" name="图片 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4" w:type="dxa"/>
          </w:tcPr>
          <w:p w14:paraId="30C58C22">
            <w:pPr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5" name="图片 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65B953E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5100" w:type="dxa"/>
          </w:tcPr>
          <w:p w14:paraId="2E476A27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深圳市燃气</w:t>
            </w:r>
          </w:p>
          <w:p w14:paraId="04C01E6E">
            <w:pPr>
              <w:spacing w:line="360" w:lineRule="exact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Cs w:val="21"/>
              </w:rPr>
              <w:t>《“选育用留”做好干部人才队伍建设》</w:t>
            </w:r>
          </w:p>
        </w:tc>
        <w:tc>
          <w:tcPr>
            <w:tcW w:w="4754" w:type="dxa"/>
          </w:tcPr>
          <w:p w14:paraId="595C27A5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奔驰汽车</w:t>
            </w:r>
          </w:p>
          <w:p w14:paraId="3F69BBEF">
            <w:pPr>
              <w:spacing w:line="360" w:lineRule="exact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Cs w:val="21"/>
              </w:rPr>
              <w:t>《AI在HR工作中的应用技巧》</w:t>
            </w:r>
          </w:p>
        </w:tc>
      </w:tr>
      <w:tr w14:paraId="728B8FF4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0" w:hRule="atLeast"/>
        </w:trPr>
        <w:tc>
          <w:tcPr>
            <w:tcW w:w="5100" w:type="dxa"/>
          </w:tcPr>
          <w:p w14:paraId="12794810">
            <w:pPr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52" name="图片 52" descr="4abb68f1a841ceece1954607ed6978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图片 52" descr="4abb68f1a841ceece1954607ed6978f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4" w:type="dxa"/>
          </w:tcPr>
          <w:p w14:paraId="51CE4DCD">
            <w:pPr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53" name="图片 53" descr="1f1cd5b71685acb56f2104f2fe2a5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图片 53" descr="1f1cd5b71685acb56f2104f2fe2a5da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A4557B2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</w:tcPr>
          <w:p w14:paraId="6F1E85B7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建设银行广东省分行</w:t>
            </w:r>
          </w:p>
          <w:p w14:paraId="00FCA3E9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《关键人才梯队建设》</w:t>
            </w:r>
          </w:p>
        </w:tc>
        <w:tc>
          <w:tcPr>
            <w:tcW w:w="4754" w:type="dxa"/>
          </w:tcPr>
          <w:p w14:paraId="7728E0CE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农业银行顺德分行</w:t>
            </w:r>
          </w:p>
          <w:p w14:paraId="764543C2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《新生代员工管理》</w:t>
            </w:r>
          </w:p>
        </w:tc>
      </w:tr>
      <w:tr w14:paraId="6D3D7539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0" w:hRule="atLeast"/>
        </w:trPr>
        <w:tc>
          <w:tcPr>
            <w:tcW w:w="5100" w:type="dxa"/>
          </w:tcPr>
          <w:p w14:paraId="314228FF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2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4" w:type="dxa"/>
          </w:tcPr>
          <w:p w14:paraId="522B969A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55" name="图片 55" descr="MTXX_20230718_1335057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图片 55" descr="MTXX_20230718_133505709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853484D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</w:tcPr>
          <w:p w14:paraId="69C6FF65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招银金服</w:t>
            </w:r>
          </w:p>
          <w:p w14:paraId="1240B0EB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《打造顶尖面试官》</w:t>
            </w:r>
          </w:p>
        </w:tc>
        <w:tc>
          <w:tcPr>
            <w:tcW w:w="4754" w:type="dxa"/>
          </w:tcPr>
          <w:p w14:paraId="56CFD813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中国邮储银行总行</w:t>
            </w:r>
          </w:p>
          <w:p w14:paraId="7EA12D49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《开好私董会，解决业务问题》</w:t>
            </w:r>
          </w:p>
        </w:tc>
      </w:tr>
      <w:tr w14:paraId="42374083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</w:tcPr>
          <w:p w14:paraId="7E097255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56" name="图片 56" descr="a027926e69340bd38117d7e60207ea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图片 56" descr="a027926e69340bd38117d7e60207ea0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4" w:type="dxa"/>
          </w:tcPr>
          <w:p w14:paraId="4B742834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57" name="图片 57" descr="9a3b9b23690e0a1c4a034192c1ef0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图片 57" descr="9a3b9b23690e0a1c4a034192c1ef072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AD8B16D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</w:tcPr>
          <w:p w14:paraId="5CB2B176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江西铜业集团有限公司</w:t>
            </w:r>
          </w:p>
          <w:p w14:paraId="4E4EEDD5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《培训需求调研及年度计划制定》</w:t>
            </w:r>
          </w:p>
        </w:tc>
        <w:tc>
          <w:tcPr>
            <w:tcW w:w="4754" w:type="dxa"/>
          </w:tcPr>
          <w:p w14:paraId="4506E8C8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广西路桥集团</w:t>
            </w:r>
          </w:p>
          <w:p w14:paraId="351D29C8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《人力资源数字化转型》</w:t>
            </w:r>
          </w:p>
        </w:tc>
      </w:tr>
      <w:tr w14:paraId="724BA8A7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0" w:hRule="atLeast"/>
        </w:trPr>
        <w:tc>
          <w:tcPr>
            <w:tcW w:w="5100" w:type="dxa"/>
          </w:tcPr>
          <w:p w14:paraId="261B7F49">
            <w:pPr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3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4" w:type="dxa"/>
          </w:tcPr>
          <w:p w14:paraId="07EEE173">
            <w:pPr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73" name="图片 73" descr="5a0db6a35bcba9f43c61121d289c3d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图片 73" descr="5a0db6a35bcba9f43c61121d289c3d1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8843E14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</w:tcPr>
          <w:p w14:paraId="5B92117E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济南市人社局</w:t>
            </w:r>
          </w:p>
          <w:p w14:paraId="0DB5EE4F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《数字经济发展保障就业质量》</w:t>
            </w:r>
          </w:p>
        </w:tc>
        <w:tc>
          <w:tcPr>
            <w:tcW w:w="4754" w:type="dxa"/>
          </w:tcPr>
          <w:p w14:paraId="178416E2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广东邮政集团</w:t>
            </w:r>
          </w:p>
          <w:p w14:paraId="416E88D6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《打造顶尖面试官》</w:t>
            </w:r>
          </w:p>
        </w:tc>
      </w:tr>
      <w:tr w14:paraId="4F505B51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0" w:hRule="atLeast"/>
        </w:trPr>
        <w:tc>
          <w:tcPr>
            <w:tcW w:w="5100" w:type="dxa"/>
          </w:tcPr>
          <w:p w14:paraId="144E51EC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74" name="图片 74" descr="c10cdeee6572e53631574c8c70c6ee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图片 74" descr="c10cdeee6572e53631574c8c70c6eef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4" w:type="dxa"/>
          </w:tcPr>
          <w:p w14:paraId="1BA9773F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75" name="图片 75" descr="38362c03de43534735ba47e187a018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图片 75" descr="38362c03de43534735ba47e187a018c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9706D3A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</w:tcPr>
          <w:p w14:paraId="58CC0B70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隆基集团</w:t>
            </w:r>
          </w:p>
          <w:p w14:paraId="26DFBFCD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《人力资源数字化转型》</w:t>
            </w:r>
          </w:p>
        </w:tc>
        <w:tc>
          <w:tcPr>
            <w:tcW w:w="4754" w:type="dxa"/>
          </w:tcPr>
          <w:p w14:paraId="70CDD577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侨鑫集团</w:t>
            </w:r>
          </w:p>
          <w:p w14:paraId="238326B3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《团队融合工作坊》</w:t>
            </w:r>
          </w:p>
        </w:tc>
      </w:tr>
      <w:tr w14:paraId="6A160D08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</w:tcPr>
          <w:p w14:paraId="691B3FDB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76" name="图片 76" descr="77bd1da2359e3a2bfbbf755dd1649c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图片 76" descr="77bd1da2359e3a2bfbbf755dd1649c4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4" w:type="dxa"/>
          </w:tcPr>
          <w:p w14:paraId="556DA314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77" name="图片 77" descr="b2be62d66b433fc71e9c920a409ed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图片 77" descr="b2be62d66b433fc71e9c920a409ed35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C95FAD5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</w:tcPr>
          <w:p w14:paraId="6AFED2C8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Deckers（UGG的母公司）</w:t>
            </w:r>
          </w:p>
          <w:p w14:paraId="4CE92B8E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《目标管理》</w:t>
            </w:r>
          </w:p>
        </w:tc>
        <w:tc>
          <w:tcPr>
            <w:tcW w:w="4754" w:type="dxa"/>
          </w:tcPr>
          <w:p w14:paraId="2838CBD1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三雄极光</w:t>
            </w:r>
          </w:p>
          <w:p w14:paraId="25EFD39D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《打造顶尖面试官》</w:t>
            </w:r>
          </w:p>
        </w:tc>
      </w:tr>
      <w:tr w14:paraId="3B03DFB2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0" w:hRule="atLeast"/>
        </w:trPr>
        <w:tc>
          <w:tcPr>
            <w:tcW w:w="5100" w:type="dxa"/>
          </w:tcPr>
          <w:p w14:paraId="20C4C48D">
            <w:pPr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59" name="图片 59" descr="b8966e97257950d01da6c5a6ed197bc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图片 59" descr="b8966e97257950d01da6c5a6ed197bc"/>
                          <pic:cNvPicPr/>
                        </pic:nvPicPr>
                        <pic:blipFill>
                          <a:blip r:embed="rId23"/>
                          <a:srcRect r="113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4" w:type="dxa"/>
          </w:tcPr>
          <w:p w14:paraId="37B522C6">
            <w:pPr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60" name="图片 60" descr="2dc704f841511516e4fa2e74f700dd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图片 60" descr="2dc704f841511516e4fa2e74f700ddd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CC6877B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</w:tcPr>
          <w:p w14:paraId="1EA97A5F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航天科工集团</w:t>
            </w:r>
          </w:p>
          <w:p w14:paraId="66C845A8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《搭建关键人才梯队》</w:t>
            </w:r>
          </w:p>
        </w:tc>
        <w:tc>
          <w:tcPr>
            <w:tcW w:w="4754" w:type="dxa"/>
          </w:tcPr>
          <w:p w14:paraId="2C25323F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中山大学继续教育学院</w:t>
            </w:r>
          </w:p>
          <w:p w14:paraId="2A056A2A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《OKR落地实践》</w:t>
            </w:r>
          </w:p>
        </w:tc>
      </w:tr>
      <w:tr w14:paraId="5E68D185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0" w:hRule="atLeast"/>
        </w:trPr>
        <w:tc>
          <w:tcPr>
            <w:tcW w:w="5100" w:type="dxa"/>
          </w:tcPr>
          <w:p w14:paraId="57483254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61" name="图片 61" descr="bc74139035b353d8b41349856a387f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图片 61" descr="bc74139035b353d8b41349856a387fc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4" w:type="dxa"/>
          </w:tcPr>
          <w:p w14:paraId="07BFA6A6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62" name="图片 62" descr="aaf5a3cf436195f7f4c7e2a9f38ea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图片 62" descr="aaf5a3cf436195f7f4c7e2a9f38ea51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9852477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</w:tcPr>
          <w:p w14:paraId="763AC364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广州自来水集团</w:t>
            </w:r>
          </w:p>
          <w:p w14:paraId="4766B8A2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《国企人力资源数字化转型》</w:t>
            </w:r>
          </w:p>
        </w:tc>
        <w:tc>
          <w:tcPr>
            <w:tcW w:w="4754" w:type="dxa"/>
          </w:tcPr>
          <w:p w14:paraId="4AC5E881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佛山高速公路集团</w:t>
            </w:r>
          </w:p>
          <w:p w14:paraId="25758BE9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《打造顶尖面试官》</w:t>
            </w:r>
          </w:p>
        </w:tc>
      </w:tr>
      <w:tr w14:paraId="5C4AB926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</w:tcPr>
          <w:p w14:paraId="73D4B342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63" name="图片 63" descr="0382fef718bbcd239d69b1b9c0d4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图片 63" descr="0382fef718bbcd239d69b1b9c0d4239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4" w:type="dxa"/>
          </w:tcPr>
          <w:p w14:paraId="41EDD680"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64" name="图片 64" descr="6b09513d2e196a46806aeaf90304d7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图片 64" descr="6b09513d2e196a46806aeaf90304d7e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8117803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</w:tcPr>
          <w:p w14:paraId="39ADE00A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中国船舶集团</w:t>
            </w:r>
          </w:p>
          <w:p w14:paraId="5E78B56D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《塑造卓越培训管理者》</w:t>
            </w:r>
          </w:p>
        </w:tc>
        <w:tc>
          <w:tcPr>
            <w:tcW w:w="4754" w:type="dxa"/>
          </w:tcPr>
          <w:p w14:paraId="57D4EF9D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重庆市人社局</w:t>
            </w:r>
          </w:p>
          <w:p w14:paraId="1EF92BC9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《大学生就业指导》</w:t>
            </w:r>
          </w:p>
        </w:tc>
      </w:tr>
      <w:tr w14:paraId="4DCBECB9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0" w:hRule="atLeast"/>
        </w:trPr>
        <w:tc>
          <w:tcPr>
            <w:tcW w:w="5100" w:type="dxa"/>
          </w:tcPr>
          <w:p w14:paraId="3135FB8F">
            <w:pPr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65" name="图片 65" descr="2a1e9f2427c5ef1b712bb2165c06a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图片 65" descr="2a1e9f2427c5ef1b712bb2165c06a50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4" w:type="dxa"/>
          </w:tcPr>
          <w:p w14:paraId="7F006913">
            <w:pPr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66" name="图片 66" descr="d8468af89bbdb84779e429d7f8a6ee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图片 66" descr="d8468af89bbdb84779e429d7f8a6ee6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D203D14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</w:tcPr>
          <w:p w14:paraId="23454190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成都移动</w:t>
            </w:r>
          </w:p>
          <w:p w14:paraId="32F0E850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《人力资源数字化转型》</w:t>
            </w:r>
          </w:p>
        </w:tc>
        <w:tc>
          <w:tcPr>
            <w:tcW w:w="4754" w:type="dxa"/>
          </w:tcPr>
          <w:p w14:paraId="5F0D04FA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美的集团</w:t>
            </w:r>
          </w:p>
          <w:p w14:paraId="1184C257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《文化建设工作坊》</w:t>
            </w:r>
          </w:p>
        </w:tc>
      </w:tr>
      <w:tr w14:paraId="4CFEC73B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0" w:hRule="atLeast"/>
        </w:trPr>
        <w:tc>
          <w:tcPr>
            <w:tcW w:w="5100" w:type="dxa"/>
          </w:tcPr>
          <w:p w14:paraId="48D3E7F4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95885</wp:posOffset>
                      </wp:positionV>
                      <wp:extent cx="2838450" cy="2000250"/>
                      <wp:effectExtent l="0" t="0" r="6350" b="6350"/>
                      <wp:wrapNone/>
                      <wp:docPr id="34" name="文本框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744855" y="3471545"/>
                                <a:ext cx="2838450" cy="2000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91D4BD8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drawing>
                                      <wp:inline distT="0" distB="0" distL="114300" distR="114300">
                                        <wp:extent cx="2760980" cy="2019300"/>
                                        <wp:effectExtent l="0" t="0" r="1270" b="0"/>
                                        <wp:docPr id="67" name="图片 67" descr="b9073b82dd38c270f702e090cd35e4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7" name="图片 67" descr="b9073b82dd38c270f702e090cd35e43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3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761200" cy="2019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.95pt;margin-top:7.55pt;height:157.5pt;width:223.5pt;z-index:251661312;mso-width-relative:page;mso-height-relative:page;" fillcolor="#FFFFFF [3201]" filled="t" stroked="f" coordsize="21600,21600" o:gfxdata="UEsDBAoAAAAAAIdO4kAAAAAAAAAAAAAAAAAEAAAAZHJzL1BLAwQUAAAACACHTuJARAeFRdIAAAAI&#10;AQAADwAAAGRycy9kb3ducmV2LnhtbE2PS0/DMBCE70j8B2uRuFHbtEWQxukBiSsSfZ3deImj2uso&#10;dp+/nuUEx/1mNDtTLy8xiBOOuU9kQE8UCKQ2uZ46A5v1x9MriFwsORsSoYErZlg293e1rVw60xee&#10;VqUTHEK5sgZ8KUMlZW49RpsnaUBi7TuN0RY+x0660Z45PAb5rNSLjLYn/uDtgO8e28PqGA3sunjb&#10;bfUwehfDjD5v1/Um9cY8Pmi1AFHwUv7M8Fufq0PDnfbpSC6LYGD6xkbGcw2C5dlcMdgznyoNsqnl&#10;/wHND1BLAwQUAAAACACHTuJAauuw4VsCAACdBAAADgAAAGRycy9lMm9Eb2MueG1srVTBbhMxEL0j&#10;8Q+W72STdNOGqJsqtApCqmilgDg7Xm/Wku0xtpPd8AHwB5y4cOe78h2MvZs2FA49kMNmxjP7xu/N&#10;zF5etVqRnXBeginoaDCkRBgOpTSbgn78sHw1pcQHZkqmwIiC7oWnV/OXLy4bOxNjqEGVwhEEMX7W&#10;2ILWIdhZlnleC838AKwwGKzAaRbQdZusdKxBdK2y8XB4njXgSuuAC+/x9KYL0h7RPQcQqkpycQN8&#10;q4UJHaoTigWk5GtpPZ2n21aV4OGuqrwIRBUUmYb0xCJor+Mzm1+y2cYxW0veX4E95wpPOGkmDRZ9&#10;gLphgZGtk39BackdeKjCgIPOOiJJEWQxGj7RZlUzKxIXlNrbB9H9/4Pl73f3jsiyoGc5JYZp7Pjh&#10;+7fDj1+Hn18JnqFAjfUzzFtZzAztG2hxbI7nHg8j77ZyOv4jI4LxizyfTiaU7CPuxWiSTzqlRRsI&#10;x/h4ejbNJ9gEjhk4FcMxOlgqe0Syzoe3AjSJRkEdtjIpzHa3PnSpx5RY2IOS5VIqlRy3WV8rR3YM&#10;275Mvx79jzRlSFPQ8zOsHd8yEN/voJXBy0TiHcFohXbd9mqsodyjGA66efKWLyXe8pb5cM8cDhAy&#10;wxULd/ioFGAR6C1KanBf/nUe87GvGKWkwYEsqP+8ZU5Qot4Z7PjrUZ7HCU5OPrkYo+NOI+vTiNnq&#10;a0DyI1xmy5MZ84M6mpUD/Qk3cRGrYogZjrULGo7mdejWBDeZi8UiJeHMWhZuzcryCN2JttgGqGRq&#10;SZSp06ZXD6c2NbXfsLgWp37KevyqzH8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RAeFRdIAAAAI&#10;AQAADwAAAAAAAAABACAAAAAiAAAAZHJzL2Rvd25yZXYueG1sUEsBAhQAFAAAAAgAh07iQGrrsOFb&#10;AgAAnQQAAA4AAAAAAAAAAQAgAAAAIQEAAGRycy9lMm9Eb2MueG1sUEsFBgAAAAAGAAYAWQEAAO4F&#10;AAAAAA==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 w14:paraId="091D4BD8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drawing>
                                <wp:inline distT="0" distB="0" distL="114300" distR="114300">
                                  <wp:extent cx="2760980" cy="2019300"/>
                                  <wp:effectExtent l="0" t="0" r="1270" b="0"/>
                                  <wp:docPr id="67" name="图片 67" descr="b9073b82dd38c270f702e090cd35e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7" name="图片 67" descr="b9073b82dd38c270f702e090cd35e4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3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61200" cy="2019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754" w:type="dxa"/>
          </w:tcPr>
          <w:p w14:paraId="0476649E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102235</wp:posOffset>
                      </wp:positionV>
                      <wp:extent cx="2915285" cy="1987550"/>
                      <wp:effectExtent l="0" t="0" r="5715" b="6350"/>
                      <wp:wrapNone/>
                      <wp:docPr id="36" name="文本框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3443605" y="3674745"/>
                                <a:ext cx="2915285" cy="1987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8D40151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drawing>
                                      <wp:inline distT="0" distB="0" distL="114300" distR="114300">
                                        <wp:extent cx="2760980" cy="2019300"/>
                                        <wp:effectExtent l="0" t="0" r="1270" b="0"/>
                                        <wp:docPr id="68" name="图片 68" descr="939f4b1836750c9b96f824ca0b4b9f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8" name="图片 68" descr="939f4b1836750c9b96f824ca0b4b9f0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3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761200" cy="2019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2.5pt;margin-top:8.05pt;height:156.5pt;width:229.55pt;z-index:251660288;mso-width-relative:page;mso-height-relative:page;" fillcolor="#FFFFFF [3201]" filled="t" stroked="f" coordsize="21600,21600" o:gfxdata="UEsDBAoAAAAAAIdO4kAAAAAAAAAAAAAAAAAEAAAAZHJzL1BLAwQUAAAACACHTuJAuC8TV9UAAAAJ&#10;AQAADwAAAGRycy9kb3ducmV2LnhtbE2PS0/DMBCE70j8B2uRuLWOS1pBGqcHJK5I9HV2420cYa+j&#10;2H3+epYT3HZ3RrPf1Ktr8OKMY+ojaVDTAgRSG21PnYbt5mPyCiJlQ9b4SKjhhglWzeNDbSobL/SF&#10;53XuBIdQqowGl/NQSZlah8GkaRyQWDvGMZjM69hJO5oLhwcvZ0WxkMH0xB+cGfDdYfu9PgUN+y7c&#10;9zs1jM4GX9Ln/bbZxl7r5ydVLEFkvOY/M/ziMzo0zHSIJ7JJeA2TOVfJfF8oEKyX85KHg4aX2ZsC&#10;2dTyf4PmB1BLAwQUAAAACACHTuJAj82M8V8CAACeBAAADgAAAGRycy9lMm9Eb2MueG1srVTNbhMx&#10;EL4j8Q6W73Tzs/lp1E0VWgUhRbRSQJwdrzdryfYY28lueAB4g564cOe5+hyMvUlbCoceyMEZez5/&#10;4/lmZi8uW63IXjgvwRS0f9ajRBgOpTTbgn76uHwzpcQHZkqmwIiCHoSnl/PXry4aOxMDqEGVwhEk&#10;MX7W2ILWIdhZlnleC838GVhh0FmB0yzg1m2z0rEG2bXKBr3eOGvAldYBF97j6XXnpEdG9xJCqCrJ&#10;xTXwnRYmdKxOKBYwJV9L6+k8vbaqBA83VeVFIKqgmGlIKwZBexPXbH7BZlvHbC358QnsJU94lpNm&#10;0mDQB6prFhjZOfkXlZbcgYcqnHHQWZdIUgSz6PeeabOumRUpF5Ta2wfR/f+j5R/2t47IsqDDMSWG&#10;aaz4/d33+x+/7n9+I3iGAjXWzxC3togM7VtosW1O5x4PY95t5XT8x4wI+od5Phz3RpQcIvEkn+Sj&#10;TmrRBsIRMDjvjwZTBHBE9M+nk9EoFSN7pLLOh3cCNIlGQR3WMknM9isf8FkIPUFiZA9KlkupVNq4&#10;7eZKObJnWPdl+sX4eOUPmDKkKeh4iLHjLQPxfodTBuEx8y7DaIV20x7l2EB5QDUcdA3lLV9KfOWK&#10;+XDLHHYQ9hfOWLjBpVKAQeBoUVKD+/qv84jHwqKXkgY7sqD+y445QYl6b7Dk5/08jy2cNvloMsCN&#10;e+rZPPWYnb4CTL6P02x5MiM+qJNZOdCfcRQXMSq6mOEYu6DhZF6Fbk5wlLlYLBIIm9aysDJryyN1&#10;J9piF6CSqSRRpk6bo3rYtkn244jFuXi6T6jHz8r8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Lgv&#10;E1fVAAAACQEAAA8AAAAAAAAAAQAgAAAAIgAAAGRycy9kb3ducmV2LnhtbFBLAQIUABQAAAAIAIdO&#10;4kCPzYzxXwIAAJ4EAAAOAAAAAAAAAAEAIAAAACQBAABkcnMvZTJvRG9jLnhtbFBLBQYAAAAABgAG&#10;AFkBAAD1BQAAAAA=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 w14:paraId="68D40151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drawing>
                                <wp:inline distT="0" distB="0" distL="114300" distR="114300">
                                  <wp:extent cx="2760980" cy="2019300"/>
                                  <wp:effectExtent l="0" t="0" r="1270" b="0"/>
                                  <wp:docPr id="68" name="图片 68" descr="939f4b1836750c9b96f824ca0b4b9f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8" name="图片 68" descr="939f4b1836750c9b96f824ca0b4b9f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3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61200" cy="2019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4C1BF075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</w:tcPr>
          <w:p w14:paraId="652E075C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贵州邮政集团</w:t>
            </w:r>
          </w:p>
          <w:p w14:paraId="31DD47F6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《绩效评估与绩效改进》</w:t>
            </w:r>
          </w:p>
        </w:tc>
        <w:tc>
          <w:tcPr>
            <w:tcW w:w="4754" w:type="dxa"/>
          </w:tcPr>
          <w:p w14:paraId="111E85A8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中国建筑国际集团</w:t>
            </w:r>
          </w:p>
          <w:p w14:paraId="5AFA36FA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《人力资源数字化转型》</w:t>
            </w:r>
          </w:p>
        </w:tc>
      </w:tr>
      <w:tr w14:paraId="159F71C5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</w:tcPr>
          <w:p w14:paraId="66E497F6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69" name="图片 69" descr="c688d9990a1c35c1768b8147b4c7a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图片 69" descr="c688d9990a1c35c1768b8147b4c7a84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4" w:type="dxa"/>
          </w:tcPr>
          <w:p w14:paraId="6AA6A1F0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72" name="图片 72" descr="8eecb341f4e41090a964608dc2ca8b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图片 72" descr="8eecb341f4e41090a964608dc2ca8b0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570FFDD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</w:tcPr>
          <w:p w14:paraId="20DC5687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广西新发展交通集团</w:t>
            </w:r>
          </w:p>
          <w:p w14:paraId="3FF04937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《培训体系建设》</w:t>
            </w:r>
          </w:p>
        </w:tc>
        <w:tc>
          <w:tcPr>
            <w:tcW w:w="4754" w:type="dxa"/>
          </w:tcPr>
          <w:p w14:paraId="0035AA76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湖南空港集团</w:t>
            </w:r>
          </w:p>
          <w:p w14:paraId="25D91E6D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《全面绩效管理》</w:t>
            </w:r>
          </w:p>
        </w:tc>
      </w:tr>
      <w:tr w14:paraId="04675767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0" w:hRule="atLeast"/>
        </w:trPr>
        <w:tc>
          <w:tcPr>
            <w:tcW w:w="5100" w:type="dxa"/>
          </w:tcPr>
          <w:p w14:paraId="2B146EFE">
            <w:pPr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drawing>
                <wp:inline distT="0" distB="0" distL="0" distR="0">
                  <wp:extent cx="2760980" cy="2019300"/>
                  <wp:effectExtent l="0" t="0" r="1270" b="0"/>
                  <wp:docPr id="42" name="图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4" w:type="dxa"/>
          </w:tcPr>
          <w:p w14:paraId="49F2D878">
            <w:pPr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drawing>
                <wp:inline distT="0" distB="0" distL="0" distR="0">
                  <wp:extent cx="2760980" cy="2019300"/>
                  <wp:effectExtent l="0" t="0" r="1270" b="0"/>
                  <wp:docPr id="43" name="图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B6EEB53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</w:tcPr>
          <w:p w14:paraId="0B90BBCD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南方航空-珠海市翔翼公司</w:t>
            </w:r>
          </w:p>
          <w:p w14:paraId="4A814F7C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《绩效评估与改进工作坊》</w:t>
            </w:r>
          </w:p>
        </w:tc>
        <w:tc>
          <w:tcPr>
            <w:tcW w:w="4754" w:type="dxa"/>
          </w:tcPr>
          <w:p w14:paraId="5DD321BC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广东电网佛山供电局</w:t>
            </w:r>
          </w:p>
          <w:p w14:paraId="07C21366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《人力资源管理实践》</w:t>
            </w:r>
          </w:p>
        </w:tc>
      </w:tr>
      <w:tr w14:paraId="61328258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0" w:hRule="atLeast"/>
        </w:trPr>
        <w:tc>
          <w:tcPr>
            <w:tcW w:w="5100" w:type="dxa"/>
          </w:tcPr>
          <w:p w14:paraId="29469CA1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drawing>
                <wp:inline distT="0" distB="0" distL="114300" distR="114300">
                  <wp:extent cx="2760980" cy="2019300"/>
                  <wp:effectExtent l="0" t="0" r="1270" b="0"/>
                  <wp:docPr id="45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4" w:type="dxa"/>
          </w:tcPr>
          <w:p w14:paraId="14F39F49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drawing>
                <wp:inline distT="0" distB="0" distL="114300" distR="114300">
                  <wp:extent cx="2760980" cy="2019300"/>
                  <wp:effectExtent l="0" t="0" r="1270" b="0"/>
                  <wp:docPr id="4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6C7F7EE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</w:tcPr>
          <w:p w14:paraId="69BF471A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湖北新能源集团</w:t>
            </w:r>
          </w:p>
          <w:p w14:paraId="6A17A82E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《班组长的管理效能提升》</w:t>
            </w:r>
          </w:p>
        </w:tc>
        <w:tc>
          <w:tcPr>
            <w:tcW w:w="4754" w:type="dxa"/>
          </w:tcPr>
          <w:p w14:paraId="289BD098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中海集团</w:t>
            </w:r>
          </w:p>
          <w:p w14:paraId="7C9E0F90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“海之子”项目《职场新动力》</w:t>
            </w:r>
          </w:p>
        </w:tc>
      </w:tr>
      <w:tr w14:paraId="7005C0E4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9" w:hRule="atLeast"/>
        </w:trPr>
        <w:tc>
          <w:tcPr>
            <w:tcW w:w="5100" w:type="dxa"/>
          </w:tcPr>
          <w:p w14:paraId="507F3F99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1693044616" name="图片 1693044616" descr="16735910190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3044616" name="图片 1693044616" descr="1673591019047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4" w:type="dxa"/>
          </w:tcPr>
          <w:p w14:paraId="3CB7BE21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1840866240" name="图片 1840866240" descr="1673591322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0866240" name="图片 1840866240" descr="1673591322434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0AD9528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</w:tcPr>
          <w:p w14:paraId="27C5E0EB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海尔生物</w:t>
            </w:r>
          </w:p>
          <w:p w14:paraId="6D525509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《组织变革与团队融合工作坊》</w:t>
            </w:r>
          </w:p>
        </w:tc>
        <w:tc>
          <w:tcPr>
            <w:tcW w:w="4754" w:type="dxa"/>
          </w:tcPr>
          <w:p w14:paraId="0A9526EB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三亚中央商务区管理局</w:t>
            </w:r>
          </w:p>
          <w:p w14:paraId="1702C789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《PDCA工作法》</w:t>
            </w:r>
          </w:p>
        </w:tc>
      </w:tr>
    </w:tbl>
    <w:p w14:paraId="7E3FF6D2">
      <w:pPr>
        <w:spacing w:line="480" w:lineRule="exact"/>
        <w:jc w:val="left"/>
        <w:rPr>
          <w:rFonts w:hint="eastAsia" w:ascii="宋体" w:hAnsi="宋体" w:eastAsia="宋体"/>
          <w:b/>
          <w:bCs/>
          <w:sz w:val="24"/>
          <w:szCs w:val="24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liOWM2MzNlZjk4NTNhNjlmZThmZjcxNGE1Y2Q0ZmIifQ=="/>
  </w:docVars>
  <w:rsids>
    <w:rsidRoot w:val="0066383F"/>
    <w:rsid w:val="00077D74"/>
    <w:rsid w:val="000A3952"/>
    <w:rsid w:val="000A3DC9"/>
    <w:rsid w:val="000A6A4A"/>
    <w:rsid w:val="000B0E3C"/>
    <w:rsid w:val="000B472B"/>
    <w:rsid w:val="000B7CAD"/>
    <w:rsid w:val="00151214"/>
    <w:rsid w:val="00166223"/>
    <w:rsid w:val="001666DC"/>
    <w:rsid w:val="00170838"/>
    <w:rsid w:val="0017475D"/>
    <w:rsid w:val="00176F44"/>
    <w:rsid w:val="001844DC"/>
    <w:rsid w:val="00190E45"/>
    <w:rsid w:val="001A1C9C"/>
    <w:rsid w:val="001B1F8A"/>
    <w:rsid w:val="001D7D6D"/>
    <w:rsid w:val="001E6FB4"/>
    <w:rsid w:val="001F2DEA"/>
    <w:rsid w:val="0024015E"/>
    <w:rsid w:val="00240859"/>
    <w:rsid w:val="0024230F"/>
    <w:rsid w:val="00242E09"/>
    <w:rsid w:val="002441E4"/>
    <w:rsid w:val="00287A23"/>
    <w:rsid w:val="002928D3"/>
    <w:rsid w:val="002970DC"/>
    <w:rsid w:val="002E5501"/>
    <w:rsid w:val="002F2C4F"/>
    <w:rsid w:val="00327B9F"/>
    <w:rsid w:val="003316D9"/>
    <w:rsid w:val="00332E10"/>
    <w:rsid w:val="003533A4"/>
    <w:rsid w:val="00356316"/>
    <w:rsid w:val="00384F8B"/>
    <w:rsid w:val="003C2DD1"/>
    <w:rsid w:val="003E17DC"/>
    <w:rsid w:val="003E4F19"/>
    <w:rsid w:val="003F1B92"/>
    <w:rsid w:val="003F1D79"/>
    <w:rsid w:val="0041405A"/>
    <w:rsid w:val="004160F8"/>
    <w:rsid w:val="00421162"/>
    <w:rsid w:val="00464993"/>
    <w:rsid w:val="00481820"/>
    <w:rsid w:val="00486039"/>
    <w:rsid w:val="004871D4"/>
    <w:rsid w:val="004A66FE"/>
    <w:rsid w:val="004D46B0"/>
    <w:rsid w:val="004D51D8"/>
    <w:rsid w:val="004D75B4"/>
    <w:rsid w:val="004F234C"/>
    <w:rsid w:val="005113C2"/>
    <w:rsid w:val="00553155"/>
    <w:rsid w:val="00580C83"/>
    <w:rsid w:val="00593D01"/>
    <w:rsid w:val="00595CC9"/>
    <w:rsid w:val="00595F07"/>
    <w:rsid w:val="005B2F6F"/>
    <w:rsid w:val="005C68F6"/>
    <w:rsid w:val="005D37A5"/>
    <w:rsid w:val="005E3DF6"/>
    <w:rsid w:val="00622BD0"/>
    <w:rsid w:val="00624B1E"/>
    <w:rsid w:val="00655FEB"/>
    <w:rsid w:val="0066383F"/>
    <w:rsid w:val="006641BC"/>
    <w:rsid w:val="00683776"/>
    <w:rsid w:val="006A2FE6"/>
    <w:rsid w:val="006A4596"/>
    <w:rsid w:val="006F149B"/>
    <w:rsid w:val="00702955"/>
    <w:rsid w:val="0070353E"/>
    <w:rsid w:val="00710730"/>
    <w:rsid w:val="00727B19"/>
    <w:rsid w:val="007302D2"/>
    <w:rsid w:val="0075444B"/>
    <w:rsid w:val="00755F09"/>
    <w:rsid w:val="00773B45"/>
    <w:rsid w:val="007867B3"/>
    <w:rsid w:val="007B4293"/>
    <w:rsid w:val="00804656"/>
    <w:rsid w:val="00820CA0"/>
    <w:rsid w:val="0084374F"/>
    <w:rsid w:val="00852E04"/>
    <w:rsid w:val="008C2355"/>
    <w:rsid w:val="008C313C"/>
    <w:rsid w:val="008C7498"/>
    <w:rsid w:val="008D0EA9"/>
    <w:rsid w:val="008F2B0A"/>
    <w:rsid w:val="00901F69"/>
    <w:rsid w:val="00903E19"/>
    <w:rsid w:val="00923EC6"/>
    <w:rsid w:val="009416A5"/>
    <w:rsid w:val="00963DD6"/>
    <w:rsid w:val="00980666"/>
    <w:rsid w:val="009D09F3"/>
    <w:rsid w:val="009D5140"/>
    <w:rsid w:val="009F0E71"/>
    <w:rsid w:val="009F5B6E"/>
    <w:rsid w:val="00A17FD5"/>
    <w:rsid w:val="00A50501"/>
    <w:rsid w:val="00A54BB4"/>
    <w:rsid w:val="00A575EC"/>
    <w:rsid w:val="00AD01F0"/>
    <w:rsid w:val="00AD7538"/>
    <w:rsid w:val="00AE0217"/>
    <w:rsid w:val="00AE2903"/>
    <w:rsid w:val="00AF2503"/>
    <w:rsid w:val="00B308EE"/>
    <w:rsid w:val="00B349CA"/>
    <w:rsid w:val="00B51416"/>
    <w:rsid w:val="00B9514A"/>
    <w:rsid w:val="00BA4FA5"/>
    <w:rsid w:val="00BC0964"/>
    <w:rsid w:val="00BC288E"/>
    <w:rsid w:val="00BC67FD"/>
    <w:rsid w:val="00BD4837"/>
    <w:rsid w:val="00BD79EE"/>
    <w:rsid w:val="00BE397A"/>
    <w:rsid w:val="00BF60FE"/>
    <w:rsid w:val="00BF7CE7"/>
    <w:rsid w:val="00C054ED"/>
    <w:rsid w:val="00C42051"/>
    <w:rsid w:val="00C50ABC"/>
    <w:rsid w:val="00C63EB7"/>
    <w:rsid w:val="00C7677A"/>
    <w:rsid w:val="00CC001E"/>
    <w:rsid w:val="00CD3469"/>
    <w:rsid w:val="00D13C56"/>
    <w:rsid w:val="00D35347"/>
    <w:rsid w:val="00D3705E"/>
    <w:rsid w:val="00D53703"/>
    <w:rsid w:val="00D67F6C"/>
    <w:rsid w:val="00D722BB"/>
    <w:rsid w:val="00D732D2"/>
    <w:rsid w:val="00D803C5"/>
    <w:rsid w:val="00D9708C"/>
    <w:rsid w:val="00DA39E3"/>
    <w:rsid w:val="00DE483B"/>
    <w:rsid w:val="00E3090F"/>
    <w:rsid w:val="00E44434"/>
    <w:rsid w:val="00E469D3"/>
    <w:rsid w:val="00E62546"/>
    <w:rsid w:val="00E63C37"/>
    <w:rsid w:val="00E937A0"/>
    <w:rsid w:val="00E9465D"/>
    <w:rsid w:val="00EA441E"/>
    <w:rsid w:val="00EB5E95"/>
    <w:rsid w:val="00EC1FDA"/>
    <w:rsid w:val="00ED304C"/>
    <w:rsid w:val="00EF5B67"/>
    <w:rsid w:val="00F079FD"/>
    <w:rsid w:val="00F12279"/>
    <w:rsid w:val="00F43983"/>
    <w:rsid w:val="00F66278"/>
    <w:rsid w:val="00F7026D"/>
    <w:rsid w:val="00FC2B58"/>
    <w:rsid w:val="00FE6FA6"/>
    <w:rsid w:val="05C70E9C"/>
    <w:rsid w:val="07632D86"/>
    <w:rsid w:val="085907F0"/>
    <w:rsid w:val="08C17237"/>
    <w:rsid w:val="099E4326"/>
    <w:rsid w:val="0A9244DC"/>
    <w:rsid w:val="0DC9393A"/>
    <w:rsid w:val="11EC2659"/>
    <w:rsid w:val="13E42C19"/>
    <w:rsid w:val="14C874DB"/>
    <w:rsid w:val="17EB7E6B"/>
    <w:rsid w:val="186C7681"/>
    <w:rsid w:val="18C20C15"/>
    <w:rsid w:val="1B1F4E7E"/>
    <w:rsid w:val="1B535AE1"/>
    <w:rsid w:val="1F0423C1"/>
    <w:rsid w:val="21DA5A7E"/>
    <w:rsid w:val="29D84B76"/>
    <w:rsid w:val="2A711341"/>
    <w:rsid w:val="2BE43BB0"/>
    <w:rsid w:val="2CB23B57"/>
    <w:rsid w:val="2D503090"/>
    <w:rsid w:val="2D510F65"/>
    <w:rsid w:val="2E6B57D8"/>
    <w:rsid w:val="2E824F27"/>
    <w:rsid w:val="358211C8"/>
    <w:rsid w:val="37DF7FE2"/>
    <w:rsid w:val="382D1F6B"/>
    <w:rsid w:val="3C3678E7"/>
    <w:rsid w:val="3EEA5D4E"/>
    <w:rsid w:val="3F943419"/>
    <w:rsid w:val="42492FDC"/>
    <w:rsid w:val="42A56575"/>
    <w:rsid w:val="42E27D21"/>
    <w:rsid w:val="43140869"/>
    <w:rsid w:val="448F4FCC"/>
    <w:rsid w:val="47640A82"/>
    <w:rsid w:val="47846E90"/>
    <w:rsid w:val="47A120FB"/>
    <w:rsid w:val="48117779"/>
    <w:rsid w:val="49240B1F"/>
    <w:rsid w:val="49C67FF1"/>
    <w:rsid w:val="4C3A574D"/>
    <w:rsid w:val="51354F21"/>
    <w:rsid w:val="518E251B"/>
    <w:rsid w:val="53F11286"/>
    <w:rsid w:val="55F11B90"/>
    <w:rsid w:val="59CB6114"/>
    <w:rsid w:val="5C7B283A"/>
    <w:rsid w:val="5F4B534C"/>
    <w:rsid w:val="5F9A19AB"/>
    <w:rsid w:val="5F9E50DF"/>
    <w:rsid w:val="5FE46651"/>
    <w:rsid w:val="619A3ED3"/>
    <w:rsid w:val="62E44182"/>
    <w:rsid w:val="696355E5"/>
    <w:rsid w:val="6A60606F"/>
    <w:rsid w:val="72BD443D"/>
    <w:rsid w:val="750E6AB7"/>
    <w:rsid w:val="7803238B"/>
    <w:rsid w:val="7A387787"/>
    <w:rsid w:val="7DC3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autoRedefine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8">
    <w:name w:val="Table Grid"/>
    <w:basedOn w:val="7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mphasis"/>
    <w:basedOn w:val="9"/>
    <w:autoRedefine/>
    <w:qFormat/>
    <w:uiPriority w:val="20"/>
    <w:rPr>
      <w:i/>
    </w:rPr>
  </w:style>
  <w:style w:type="paragraph" w:customStyle="1" w:styleId="11">
    <w:name w:val="课程大纲"/>
    <w:basedOn w:val="1"/>
    <w:autoRedefine/>
    <w:qFormat/>
    <w:uiPriority w:val="0"/>
    <w:pPr>
      <w:widowControl/>
      <w:spacing w:line="480" w:lineRule="exact"/>
    </w:pPr>
    <w:rPr>
      <w:rFonts w:ascii="宋体" w:hAnsi="宋体" w:eastAsia="宋体" w:cs="宋体"/>
      <w:b/>
      <w:color w:val="1F4E79"/>
      <w:sz w:val="24"/>
      <w:szCs w:val="24"/>
    </w:rPr>
  </w:style>
  <w:style w:type="character" w:customStyle="1" w:styleId="12">
    <w:name w:val="页眉 字符"/>
    <w:basedOn w:val="9"/>
    <w:link w:val="5"/>
    <w:autoRedefine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4"/>
    <w:autoRedefine/>
    <w:qFormat/>
    <w:uiPriority w:val="99"/>
    <w:rPr>
      <w:sz w:val="18"/>
      <w:szCs w:val="18"/>
    </w:rPr>
  </w:style>
  <w:style w:type="character" w:customStyle="1" w:styleId="14">
    <w:name w:val="style1"/>
    <w:basedOn w:val="9"/>
    <w:autoRedefine/>
    <w:qFormat/>
    <w:uiPriority w:val="0"/>
  </w:style>
  <w:style w:type="paragraph" w:customStyle="1" w:styleId="15">
    <w:name w:val="Char Char Char Char Char Char"/>
    <w:basedOn w:val="1"/>
    <w:autoRedefine/>
    <w:qFormat/>
    <w:uiPriority w:val="0"/>
    <w:pPr>
      <w:widowControl/>
      <w:spacing w:before="100" w:beforeAutospacing="1" w:after="100" w:afterAutospacing="1" w:line="360" w:lineRule="auto"/>
      <w:jc w:val="left"/>
    </w:pPr>
    <w:rPr>
      <w:rFonts w:ascii="Times New Roman" w:hAnsi="Times New Roman" w:eastAsia="宋体" w:cs="Times New Roman"/>
      <w:szCs w:val="20"/>
    </w:rPr>
  </w:style>
  <w:style w:type="paragraph" w:styleId="16">
    <w:name w:val="List Paragraph"/>
    <w:basedOn w:val="1"/>
    <w:autoRedefine/>
    <w:qFormat/>
    <w:uiPriority w:val="99"/>
    <w:pPr>
      <w:ind w:firstLine="420" w:firstLineChars="200"/>
    </w:pPr>
  </w:style>
  <w:style w:type="table" w:customStyle="1" w:styleId="17">
    <w:name w:val="网格型浅色1"/>
    <w:basedOn w:val="7"/>
    <w:autoRedefine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2" Type="http://schemas.openxmlformats.org/officeDocument/2006/relationships/fontTable" Target="fontTable.xml"/><Relationship Id="rId41" Type="http://schemas.openxmlformats.org/officeDocument/2006/relationships/customXml" Target="../customXml/item1.xml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pn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4996</Words>
  <Characters>5112</Characters>
  <Lines>3</Lines>
  <Paragraphs>10</Paragraphs>
  <TotalTime>2</TotalTime>
  <ScaleCrop>false</ScaleCrop>
  <LinksUpToDate>false</LinksUpToDate>
  <CharactersWithSpaces>5122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2022-06-07T01:56:00Z</dcterms:created>
  <dc:creator>admin、</dc:creator>
  <cp:lastModifiedBy>su</cp:lastModifiedBy>
  <dcterms:modified xsi:type="dcterms:W3CDTF">2026-05-14T06:51:12Z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69BAECD92AF24BCC84CB295B3C931D5E_13</vt:lpwstr>
  </property>
  <property fmtid="{D5CDD505-2E9C-101B-9397-08002B2CF9AE}" pid="4" name="KSOTemplateDocerSaveRecord">
    <vt:lpwstr>eyJoZGlkIjoiOTYyZTAzNjk5NDI1ZDQ2MDE0NmJjNjAzOGEzODZkNDciLCJ1c2VySWQiOiIyNDE1ODc5NTkifQ==</vt:lpwstr>
  </property>
</Properties>
</file>