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C0941">
      <w:pPr>
        <w:spacing w:line="480" w:lineRule="exact"/>
        <w:jc w:val="center"/>
        <w:rPr>
          <w:rFonts w:hint="eastAsia" w:ascii="宋体" w:hAnsi="宋体" w:eastAsia="宋体"/>
          <w:b/>
          <w:color w:val="1F4E79"/>
          <w:sz w:val="32"/>
          <w:szCs w:val="32"/>
        </w:rPr>
      </w:pPr>
      <w:r>
        <w:rPr>
          <w:rFonts w:hint="eastAsia" w:ascii="宋体" w:hAnsi="宋体" w:eastAsia="宋体"/>
          <w:b/>
          <w:color w:val="1F4E79"/>
          <w:sz w:val="32"/>
          <w:szCs w:val="32"/>
        </w:rPr>
        <w:t>供应链运营实战对抗</w:t>
      </w:r>
      <w:r>
        <w:rPr>
          <w:rFonts w:ascii="宋体" w:hAnsi="宋体" w:eastAsia="宋体"/>
          <w:b/>
          <w:color w:val="1F4E79"/>
          <w:sz w:val="32"/>
          <w:szCs w:val="32"/>
        </w:rPr>
        <w:t>沙盘</w:t>
      </w:r>
    </w:p>
    <w:p w14:paraId="51BBF0AE">
      <w:pPr>
        <w:spacing w:line="480" w:lineRule="exact"/>
        <w:ind w:left="-2" w:leftChars="-1"/>
        <w:rPr>
          <w:rFonts w:ascii="宋体" w:hAnsi="宋体" w:eastAsia="宋体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2AFAADD">
      <w:pPr>
        <w:spacing w:line="480" w:lineRule="exact"/>
        <w:ind w:left="-2" w:leftChars="-1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课程背景：</w:t>
      </w:r>
    </w:p>
    <w:p w14:paraId="183ABEFF">
      <w:pPr>
        <w:pStyle w:val="6"/>
        <w:spacing w:before="0" w:beforeAutospacing="0" w:after="0" w:afterAutospacing="0" w:line="480" w:lineRule="exact"/>
        <w:ind w:firstLine="480" w:firstLineChars="200"/>
        <w:rPr>
          <w:rFonts w:hint="eastAsia"/>
        </w:rPr>
      </w:pPr>
      <w:r>
        <w:rPr>
          <w:rFonts w:hint="eastAsia"/>
        </w:rPr>
        <w:t>如何消除公司部门壁垒，如何提升团队全局观和系统协同？</w:t>
      </w:r>
    </w:p>
    <w:p w14:paraId="20BE06E5">
      <w:pPr>
        <w:pStyle w:val="6"/>
        <w:spacing w:before="0" w:beforeAutospacing="0" w:after="0" w:afterAutospacing="0" w:line="480" w:lineRule="exact"/>
        <w:ind w:firstLine="480" w:firstLineChars="200"/>
        <w:rPr>
          <w:rFonts w:hint="eastAsia"/>
        </w:rPr>
      </w:pPr>
      <w:r>
        <w:rPr>
          <w:rFonts w:hint="eastAsia"/>
        </w:rPr>
        <w:t>企业供应链部门之间为何矛盾不断，产供销平衡性失调？</w:t>
      </w:r>
    </w:p>
    <w:p w14:paraId="351B32E5">
      <w:pPr>
        <w:pStyle w:val="6"/>
        <w:spacing w:before="0" w:beforeAutospacing="0" w:after="0" w:afterAutospacing="0" w:line="480" w:lineRule="exact"/>
        <w:ind w:firstLine="480" w:firstLineChars="200"/>
        <w:rPr>
          <w:rFonts w:hint="eastAsia"/>
        </w:rPr>
      </w:pPr>
      <w:r>
        <w:rPr>
          <w:rFonts w:hint="eastAsia"/>
        </w:rPr>
        <w:t>采购、生产、物流、营销、财务日常工作中面临决策如何思考？</w:t>
      </w:r>
    </w:p>
    <w:p w14:paraId="6F7C3B67">
      <w:pPr>
        <w:pStyle w:val="6"/>
        <w:spacing w:before="0" w:beforeAutospacing="0" w:after="0" w:afterAutospacing="0" w:line="480" w:lineRule="exact"/>
        <w:ind w:firstLine="480" w:firstLineChars="200"/>
        <w:rPr>
          <w:rFonts w:hint="eastAsia"/>
        </w:rPr>
      </w:pPr>
      <w:r>
        <w:rPr>
          <w:rFonts w:hint="eastAsia"/>
        </w:rPr>
        <w:t>如何建立企业供应链管理人才梯队，保证发展后备力量？</w:t>
      </w:r>
    </w:p>
    <w:p w14:paraId="0BFFD1D0">
      <w:pPr>
        <w:spacing w:line="48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t>供应链是以客户需求为导向，以提高质量和效率为目标，以整合资源为手段，实现产品设计、采购、生产、销售、服务等全过程高效协同的组织形态。随着产业升级，供应链管理提升优化已经成为促进企业发展的重中之重。</w:t>
      </w:r>
    </w:p>
    <w:p w14:paraId="7020C18C">
      <w:pPr>
        <w:pStyle w:val="6"/>
        <w:spacing w:before="0" w:beforeAutospacing="0" w:after="0" w:afterAutospacing="0" w:line="480" w:lineRule="exact"/>
        <w:ind w:firstLine="480" w:firstLineChars="200"/>
        <w:rPr>
          <w:rFonts w:hint="eastAsia"/>
        </w:rPr>
      </w:pPr>
      <w:r>
        <w:rPr>
          <w:rFonts w:hint="eastAsia"/>
        </w:rPr>
        <w:t>如何跟紧供应链发展的步伐，适应新时期的市场动态需求？如何在当今“信息化”时代结合大数据分析技术，培养适合企业发展的供应链管理专业性人才？</w:t>
      </w:r>
      <w:r>
        <w:t>……</w:t>
      </w:r>
      <w:r>
        <w:rPr>
          <w:rFonts w:hint="eastAsia"/>
        </w:rPr>
        <w:t>“阳光智链”实战沙盘模拟系统，是以体验方式让学员感受供应链管理奥妙最有效方式。</w:t>
      </w:r>
    </w:p>
    <w:p w14:paraId="6A05C658">
      <w:pPr>
        <w:spacing w:line="480" w:lineRule="exact"/>
        <w:ind w:left="-2" w:leftChars="-1"/>
        <w:rPr>
          <w:rFonts w:ascii="宋体" w:hAnsi="宋体" w:eastAsia="宋体"/>
          <w:b/>
          <w:color w:val="1F4E79"/>
        </w:rPr>
      </w:pPr>
    </w:p>
    <w:p w14:paraId="33ADFF69">
      <w:pPr>
        <w:spacing w:line="480" w:lineRule="exact"/>
        <w:ind w:left="-2" w:leftChars="-1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课程收益：</w:t>
      </w:r>
    </w:p>
    <w:p w14:paraId="352C3A2F">
      <w:pPr>
        <w:pStyle w:val="6"/>
        <w:spacing w:before="0" w:beforeAutospacing="0" w:after="0" w:afterAutospacing="0" w:line="480" w:lineRule="exact"/>
        <w:rPr>
          <w:rFonts w:hint="eastAsia"/>
          <w:b/>
        </w:rPr>
      </w:pPr>
      <w:r>
        <w:rPr>
          <w:b/>
        </w:rPr>
        <w:t>（一）运营层面：</w:t>
      </w:r>
    </w:p>
    <w:p w14:paraId="7CC0EB25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1. 提升系统思维能力和整体运营的全局观</w:t>
      </w:r>
      <w:r>
        <w:t>；</w:t>
      </w:r>
    </w:p>
    <w:p w14:paraId="1009F4FD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2. 提升团队合作</w:t>
      </w:r>
      <w:r>
        <w:t>精神</w:t>
      </w:r>
      <w:r>
        <w:rPr>
          <w:rFonts w:hint="eastAsia"/>
        </w:rPr>
        <w:t>和沟通协调能力</w:t>
      </w:r>
      <w:r>
        <w:t>；</w:t>
      </w:r>
    </w:p>
    <w:p w14:paraId="69083BD7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>3. 提升战略分析规划</w:t>
      </w:r>
      <w:r>
        <w:t>、</w:t>
      </w:r>
      <w:r>
        <w:rPr>
          <w:rFonts w:hint="eastAsia"/>
        </w:rPr>
        <w:t>预测</w:t>
      </w:r>
      <w:r>
        <w:t>及</w:t>
      </w:r>
      <w:r>
        <w:rPr>
          <w:rFonts w:hint="eastAsia"/>
        </w:rPr>
        <w:t>决策能力</w:t>
      </w:r>
      <w:r>
        <w:t>；</w:t>
      </w:r>
    </w:p>
    <w:p w14:paraId="7BEC8E34">
      <w:pPr>
        <w:pStyle w:val="6"/>
        <w:spacing w:before="0" w:beforeAutospacing="0" w:after="0" w:afterAutospacing="0" w:line="480" w:lineRule="exact"/>
        <w:rPr>
          <w:rFonts w:hint="eastAsia"/>
          <w:b/>
        </w:rPr>
      </w:pPr>
      <w:r>
        <w:rPr>
          <w:b/>
        </w:rPr>
        <w:t>（二）</w:t>
      </w:r>
      <w:r>
        <w:rPr>
          <w:rFonts w:hint="eastAsia"/>
          <w:b/>
        </w:rPr>
        <w:t>供应链管理层面</w:t>
      </w:r>
    </w:p>
    <w:p w14:paraId="3D185EB2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1. </w:t>
      </w:r>
      <w:r>
        <w:t>提升供应链服务质量的持续改进能力</w:t>
      </w:r>
    </w:p>
    <w:p w14:paraId="6AF5AB9A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2. </w:t>
      </w:r>
      <w:r>
        <w:t>提升设施规划与布局优化能力</w:t>
      </w:r>
    </w:p>
    <w:p w14:paraId="6DC52416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3. </w:t>
      </w:r>
      <w:r>
        <w:t xml:space="preserve">提升采购计划与执行能力 </w:t>
      </w:r>
    </w:p>
    <w:p w14:paraId="3F06449F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4. </w:t>
      </w:r>
      <w:r>
        <w:t xml:space="preserve">提升库存控制与管理能力 </w:t>
      </w:r>
    </w:p>
    <w:p w14:paraId="6E835F80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5. </w:t>
      </w:r>
      <w:r>
        <w:t xml:space="preserve">提升生产协调与管理优化能力 </w:t>
      </w:r>
    </w:p>
    <w:p w14:paraId="40F3A63D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6. </w:t>
      </w:r>
      <w:r>
        <w:t>提升仓储与配送优化管理能力</w:t>
      </w:r>
    </w:p>
    <w:p w14:paraId="5E3D4BFF">
      <w:pPr>
        <w:pStyle w:val="6"/>
        <w:spacing w:before="0" w:beforeAutospacing="0" w:after="0" w:afterAutospacing="0" w:line="480" w:lineRule="exact"/>
        <w:rPr>
          <w:rFonts w:hint="eastAsia"/>
          <w:b/>
        </w:rPr>
      </w:pPr>
      <w:r>
        <w:rPr>
          <w:b/>
        </w:rPr>
        <w:t>（三）</w:t>
      </w:r>
      <w:r>
        <w:rPr>
          <w:rFonts w:hint="eastAsia"/>
          <w:b/>
        </w:rPr>
        <w:t>其它层面</w:t>
      </w:r>
    </w:p>
    <w:p w14:paraId="70996DAB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1. </w:t>
      </w:r>
      <w:r>
        <w:t>提升财务管理与成本控制能力</w:t>
      </w:r>
    </w:p>
    <w:p w14:paraId="491138E0">
      <w:pPr>
        <w:pStyle w:val="6"/>
        <w:spacing w:before="0" w:beforeAutospacing="0" w:after="0" w:afterAutospacing="0" w:line="480" w:lineRule="exact"/>
        <w:rPr>
          <w:rFonts w:hint="eastAsia"/>
        </w:rPr>
      </w:pPr>
      <w:r>
        <w:rPr>
          <w:rFonts w:hint="eastAsia"/>
        </w:rPr>
        <w:t xml:space="preserve">2. </w:t>
      </w:r>
      <w:r>
        <w:t>提升市场与定价模型</w:t>
      </w:r>
    </w:p>
    <w:p w14:paraId="34BFB7AD">
      <w:pPr>
        <w:pStyle w:val="6"/>
        <w:spacing w:before="0" w:beforeAutospacing="0" w:after="0" w:afterAutospacing="0" w:line="480" w:lineRule="exact"/>
      </w:pPr>
      <w:r>
        <w:rPr>
          <w:rFonts w:hint="eastAsia"/>
        </w:rPr>
        <w:t xml:space="preserve">3. </w:t>
      </w:r>
      <w:r>
        <w:t>了解</w:t>
      </w:r>
      <w:r>
        <w:rPr>
          <w:rFonts w:hint="eastAsia"/>
        </w:rPr>
        <w:t>供应链</w:t>
      </w:r>
      <w:r>
        <w:t>相关知识点</w:t>
      </w:r>
    </w:p>
    <w:p w14:paraId="3DF143CC">
      <w:pPr>
        <w:pStyle w:val="6"/>
        <w:spacing w:before="0" w:beforeAutospacing="0" w:after="0" w:afterAutospacing="0" w:line="480" w:lineRule="exact"/>
      </w:pPr>
    </w:p>
    <w:p w14:paraId="1DD1B671">
      <w:pPr>
        <w:pStyle w:val="6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  <w:color w:val="1F4E79"/>
        </w:rPr>
        <w:t>课程</w:t>
      </w:r>
      <w:r>
        <w:rPr>
          <w:rFonts w:hint="eastAsia" w:cs="Times New Roman"/>
          <w:b/>
          <w:color w:val="1F4E79"/>
        </w:rPr>
        <w:t>时间：</w:t>
      </w:r>
      <w:r>
        <w:rPr>
          <w:rFonts w:hint="eastAsia"/>
        </w:rPr>
        <w:t>2天，</w:t>
      </w:r>
      <w:r>
        <w:t>6</w:t>
      </w:r>
      <w:r>
        <w:rPr>
          <w:rFonts w:hint="eastAsia"/>
        </w:rPr>
        <w:t>小时/天</w:t>
      </w:r>
    </w:p>
    <w:p w14:paraId="3631BAE5">
      <w:pPr>
        <w:pStyle w:val="6"/>
        <w:spacing w:before="0" w:beforeAutospacing="0" w:after="0" w:afterAutospacing="0" w:line="480" w:lineRule="exact"/>
        <w:rPr>
          <w:rStyle w:val="9"/>
          <w:rFonts w:cs="Helvetica"/>
          <w:b w:val="0"/>
          <w:color w:val="3E3E3E"/>
        </w:rPr>
      </w:pPr>
      <w:r>
        <w:rPr>
          <w:rFonts w:hint="eastAsia"/>
          <w:b/>
          <w:color w:val="1F4E79"/>
        </w:rPr>
        <w:t>课程</w:t>
      </w:r>
      <w:r>
        <w:rPr>
          <w:rFonts w:cs="Times New Roman"/>
          <w:b/>
          <w:color w:val="1F4E79"/>
        </w:rPr>
        <w:t>对象</w:t>
      </w:r>
      <w:r>
        <w:rPr>
          <w:rFonts w:hint="eastAsia" w:cs="Times New Roman"/>
          <w:b/>
          <w:color w:val="1F4E79"/>
        </w:rPr>
        <w:t>：</w:t>
      </w:r>
      <w:r>
        <w:rPr>
          <w:rFonts w:hint="eastAsia"/>
          <w:bCs/>
        </w:rPr>
        <w:t>企业总</w:t>
      </w:r>
      <w:r>
        <w:rPr>
          <w:bCs/>
        </w:rPr>
        <w:t>经理、供应链</w:t>
      </w:r>
      <w:r>
        <w:rPr>
          <w:rFonts w:hint="eastAsia"/>
          <w:bCs/>
        </w:rPr>
        <w:t>总监</w:t>
      </w:r>
      <w:r>
        <w:rPr>
          <w:bCs/>
        </w:rPr>
        <w:t>、计划经理、</w:t>
      </w:r>
      <w:r>
        <w:rPr>
          <w:rFonts w:hint="eastAsia"/>
          <w:bCs/>
        </w:rPr>
        <w:t>营销</w:t>
      </w:r>
      <w:r>
        <w:rPr>
          <w:bCs/>
        </w:rPr>
        <w:t>／</w:t>
      </w:r>
      <w:r>
        <w:rPr>
          <w:rFonts w:hint="eastAsia"/>
          <w:bCs/>
        </w:rPr>
        <w:t>采</w:t>
      </w:r>
      <w:r>
        <w:rPr>
          <w:bCs/>
        </w:rPr>
        <w:t>购／</w:t>
      </w:r>
      <w:r>
        <w:rPr>
          <w:rFonts w:hint="eastAsia"/>
          <w:bCs/>
        </w:rPr>
        <w:t>生产</w:t>
      </w:r>
      <w:r>
        <w:rPr>
          <w:bCs/>
        </w:rPr>
        <w:t>／</w:t>
      </w:r>
      <w:r>
        <w:rPr>
          <w:rFonts w:hint="eastAsia"/>
          <w:bCs/>
        </w:rPr>
        <w:t>物流</w:t>
      </w:r>
      <w:r>
        <w:rPr>
          <w:bCs/>
        </w:rPr>
        <w:t>部门负责人等</w:t>
      </w:r>
    </w:p>
    <w:p w14:paraId="5338C36C">
      <w:pPr>
        <w:spacing w:line="480" w:lineRule="exact"/>
        <w:ind w:left="-2" w:leftChars="-1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color w:val="1F4E79"/>
        </w:rPr>
        <w:t>课程</w:t>
      </w:r>
      <w:r>
        <w:rPr>
          <w:rFonts w:ascii="宋体" w:hAnsi="宋体" w:eastAsia="宋体"/>
          <w:b/>
          <w:color w:val="1F4E79"/>
        </w:rPr>
        <w:t>方式</w:t>
      </w:r>
      <w:r>
        <w:rPr>
          <w:rFonts w:hint="eastAsia" w:ascii="宋体" w:hAnsi="宋体" w:eastAsia="宋体"/>
          <w:b/>
          <w:color w:val="1F4E79"/>
        </w:rPr>
        <w:t>：</w:t>
      </w:r>
      <w:r>
        <w:rPr>
          <w:rFonts w:hint="eastAsia" w:ascii="宋体" w:hAnsi="宋体" w:eastAsia="宋体" w:cs="宋体"/>
        </w:rPr>
        <w:t>采用</w:t>
      </w:r>
      <w:r>
        <w:rPr>
          <w:rFonts w:ascii="宋体" w:hAnsi="宋体" w:eastAsia="宋体" w:cs="宋体"/>
        </w:rPr>
        <w:t>［易木</w:t>
      </w:r>
      <w:r>
        <w:rPr>
          <w:rFonts w:hint="eastAsia" w:ascii="宋体" w:hAnsi="宋体" w:eastAsia="宋体" w:cs="宋体"/>
        </w:rPr>
        <w:t>科技 阳光智链供应链实战沙盘4.</w:t>
      </w:r>
      <w:r>
        <w:rPr>
          <w:rFonts w:ascii="宋体" w:hAnsi="宋体" w:eastAsia="宋体" w:cs="宋体"/>
        </w:rPr>
        <w:t>0］</w:t>
      </w:r>
      <w:r>
        <w:rPr>
          <w:rFonts w:hint="eastAsia" w:ascii="宋体" w:hAnsi="宋体" w:eastAsia="宋体" w:cs="宋体"/>
        </w:rPr>
        <w:t>（若1天，建议选择3.0版</w:t>
      </w:r>
      <w:r>
        <w:rPr>
          <w:rFonts w:hint="eastAsia" w:ascii="宋体" w:hAnsi="宋体" w:eastAsia="宋体"/>
        </w:rPr>
        <w:t>本）</w:t>
      </w:r>
    </w:p>
    <w:p w14:paraId="2CDBC473">
      <w:pPr>
        <w:spacing w:line="480" w:lineRule="exact"/>
        <w:ind w:left="-2" w:leftChars="-1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课</w:t>
      </w:r>
      <w:r>
        <w:rPr>
          <w:rFonts w:ascii="宋体" w:hAnsi="宋体" w:eastAsia="宋体"/>
          <w:b/>
          <w:color w:val="1F4E79"/>
        </w:rPr>
        <w:t>程模型</w:t>
      </w:r>
      <w:r>
        <w:rPr>
          <w:rFonts w:hint="eastAsia" w:ascii="宋体" w:hAnsi="宋体" w:eastAsia="宋体"/>
          <w:b/>
          <w:color w:val="1F4E79"/>
        </w:rPr>
        <w:t>：</w:t>
      </w:r>
    </w:p>
    <w:p w14:paraId="060C40C7">
      <w:pPr>
        <w:rPr>
          <w:rFonts w:hint="eastAsia" w:ascii="宋体" w:hAnsi="宋体" w:eastAsia="宋体"/>
          <w:b/>
          <w:color w:val="10253F" w:themeColor="text2" w:themeShade="80"/>
        </w:rPr>
      </w:pPr>
      <w:r>
        <w:rPr>
          <w:rFonts w:hint="eastAsia" w:ascii="宋体" w:hAnsi="宋体" w:eastAsia="宋体"/>
          <w:b/>
          <w:color w:val="10253F" w:themeColor="text2" w:themeShade="80"/>
        </w:rPr>
        <w:drawing>
          <wp:inline distT="0" distB="0" distL="0" distR="0">
            <wp:extent cx="6210935" cy="2926080"/>
            <wp:effectExtent l="0" t="0" r="0" b="0"/>
            <wp:docPr id="622672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7203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D355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hint="eastAsia"/>
        </w:rPr>
      </w:pPr>
      <w:r>
        <w:t>产品</w:t>
      </w:r>
      <w:r>
        <w:rPr>
          <w:rFonts w:hint="eastAsia"/>
        </w:rPr>
        <w:t>以</w:t>
      </w:r>
      <w:r>
        <w:t>供应链管理过程中专注的</w:t>
      </w:r>
      <w:r>
        <w:rPr>
          <w:rFonts w:hint="eastAsia"/>
        </w:rPr>
        <w:t>资金</w:t>
      </w:r>
      <w:r>
        <w:t>流、</w:t>
      </w:r>
      <w:r>
        <w:rPr>
          <w:rFonts w:hint="eastAsia"/>
        </w:rPr>
        <w:t>信息</w:t>
      </w:r>
      <w:r>
        <w:t>流、</w:t>
      </w:r>
      <w:r>
        <w:rPr>
          <w:rFonts w:hint="eastAsia"/>
        </w:rPr>
        <w:t>物流为</w:t>
      </w:r>
      <w:r>
        <w:t>索引，</w:t>
      </w:r>
      <w:r>
        <w:rPr>
          <w:rFonts w:hint="eastAsia"/>
        </w:rPr>
        <w:t>学生</w:t>
      </w:r>
      <w:r>
        <w:t>基于</w:t>
      </w:r>
      <w:r>
        <w:rPr>
          <w:rFonts w:hint="eastAsia"/>
        </w:rPr>
        <w:t>五</w:t>
      </w:r>
      <w:r>
        <w:t>个角色</w:t>
      </w:r>
      <w:r>
        <w:rPr>
          <w:rFonts w:hint="eastAsia"/>
        </w:rPr>
        <w:t>（</w:t>
      </w:r>
      <w:r>
        <w:t>供应链总监、</w:t>
      </w:r>
      <w:r>
        <w:rPr>
          <w:rFonts w:hint="eastAsia"/>
        </w:rPr>
        <w:t>营销</w:t>
      </w:r>
      <w:r>
        <w:t>经理、</w:t>
      </w:r>
      <w:r>
        <w:rPr>
          <w:rFonts w:hint="eastAsia"/>
        </w:rPr>
        <w:t>生产</w:t>
      </w:r>
      <w:r>
        <w:t>经理、</w:t>
      </w:r>
      <w:r>
        <w:rPr>
          <w:rFonts w:hint="eastAsia"/>
        </w:rPr>
        <w:t>采购经理</w:t>
      </w:r>
      <w:r>
        <w:t>、</w:t>
      </w:r>
      <w:r>
        <w:rPr>
          <w:rFonts w:hint="eastAsia"/>
        </w:rPr>
        <w:t>物流</w:t>
      </w:r>
      <w:r>
        <w:t>经理</w:t>
      </w:r>
      <w:r>
        <w:rPr>
          <w:rFonts w:hint="eastAsia"/>
        </w:rPr>
        <w:t>）进行分工协作。</w:t>
      </w:r>
    </w:p>
    <w:p w14:paraId="5BC7E661">
      <w:pPr>
        <w:spacing w:line="480" w:lineRule="exact"/>
        <w:jc w:val="center"/>
        <w:rPr>
          <w:rFonts w:hint="eastAsia" w:ascii="宋体" w:hAnsi="宋体" w:eastAsia="宋体"/>
          <w:b/>
          <w:bCs/>
        </w:rPr>
      </w:pPr>
    </w:p>
    <w:p w14:paraId="369C5B07">
      <w:pPr>
        <w:spacing w:line="480" w:lineRule="exact"/>
        <w:ind w:left="-2" w:leftChars="-1"/>
        <w:jc w:val="center"/>
        <w:rPr>
          <w:rFonts w:ascii="宋体" w:hAnsi="宋体" w:eastAsia="宋体"/>
          <w:b/>
          <w:bCs/>
          <w:color w:val="1F4E79"/>
        </w:rPr>
      </w:pPr>
      <w:r>
        <w:rPr>
          <w:rFonts w:hint="eastAsia" w:ascii="宋体" w:hAnsi="宋体" w:eastAsia="宋体"/>
          <w:b/>
          <w:bCs/>
          <w:color w:val="1F4E79"/>
        </w:rPr>
        <w:t>课程大纲</w:t>
      </w:r>
    </w:p>
    <w:p w14:paraId="465EDC71">
      <w:pPr>
        <w:spacing w:line="480" w:lineRule="exact"/>
        <w:ind w:left="-2" w:leftChars="-1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第一阶段：季度赛：创业阶段</w:t>
      </w:r>
    </w:p>
    <w:p w14:paraId="403BBB42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一、企业性质与供应链场景</w:t>
      </w:r>
    </w:p>
    <w:p w14:paraId="4E8BB582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离散制造业 VS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流程制造业</w:t>
      </w:r>
    </w:p>
    <w:p w14:paraId="60BF1098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相同：三流相同、产供销逻辑相同、进出存活动相同</w:t>
      </w:r>
    </w:p>
    <w:p w14:paraId="38C23B3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不同：驱动力不同、关注重点不同</w:t>
      </w:r>
    </w:p>
    <w:p w14:paraId="0E661322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二、企业目标与供应链目标</w:t>
      </w:r>
    </w:p>
    <w:p w14:paraId="7CF8BFA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有限资源效率最大化</w:t>
      </w:r>
    </w:p>
    <w:p w14:paraId="6DDCCA92">
      <w:pPr>
        <w:spacing w:line="480" w:lineRule="exact"/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2. SCOR五大能力</w:t>
      </w:r>
    </w:p>
    <w:p w14:paraId="4A5434B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1）可靠性 </w:t>
      </w:r>
    </w:p>
    <w:p w14:paraId="1B76CC5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2）敏捷性</w:t>
      </w:r>
    </w:p>
    <w:p w14:paraId="378ABFA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3）柔性</w:t>
      </w:r>
    </w:p>
    <w:p w14:paraId="60E69E5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4）成本 </w:t>
      </w:r>
    </w:p>
    <w:p w14:paraId="0A5640F0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5）周转</w:t>
      </w:r>
    </w:p>
    <w:p w14:paraId="2A05E0ED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工具：平衡计分卡BSC</w:t>
      </w:r>
    </w:p>
    <w:p w14:paraId="3E929E3E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1）公司目标</w:t>
      </w:r>
    </w:p>
    <w:p w14:paraId="19CD889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2）客户价值</w:t>
      </w:r>
    </w:p>
    <w:p w14:paraId="7CFCE68F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3）供应链能力</w:t>
      </w:r>
    </w:p>
    <w:p w14:paraId="0D25EB85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4）团队技能</w:t>
      </w:r>
    </w:p>
    <w:p w14:paraId="02C912A1">
      <w:pPr>
        <w:spacing w:line="480" w:lineRule="exact"/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工具：杜邦财务分析</w:t>
      </w:r>
    </w:p>
    <w:p w14:paraId="76DC5EA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1）利润率</w:t>
      </w:r>
    </w:p>
    <w:p w14:paraId="7F277D3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2）周转率</w:t>
      </w:r>
    </w:p>
    <w:p w14:paraId="799A539E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3）杠杆率</w:t>
      </w:r>
    </w:p>
    <w:p w14:paraId="3086D4FA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三、需求如何分析</w:t>
      </w:r>
    </w:p>
    <w:p w14:paraId="3FA548F9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1. 供应链需求四类</w:t>
      </w:r>
    </w:p>
    <w:p w14:paraId="42ED3D3E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1）稳定型</w:t>
      </w:r>
    </w:p>
    <w:p w14:paraId="225343A0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2）增长型 </w:t>
      </w:r>
    </w:p>
    <w:p w14:paraId="6F560B4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3）周期型/季节型</w:t>
      </w:r>
    </w:p>
    <w:p w14:paraId="52FB2E1B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4）离散型</w:t>
      </w:r>
    </w:p>
    <w:p w14:paraId="0924AC23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2. 不同需求匹配供应链战略</w:t>
      </w:r>
    </w:p>
    <w:p w14:paraId="5EEC6486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1）精益供应链</w:t>
      </w:r>
    </w:p>
    <w:p w14:paraId="2DD95028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2）敏捷供应链</w:t>
      </w:r>
    </w:p>
    <w:p w14:paraId="04E4E27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3）风险共担</w:t>
      </w:r>
    </w:p>
    <w:p w14:paraId="5F43751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4）快速响应</w:t>
      </w:r>
    </w:p>
    <w:p w14:paraId="39F03D70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四、工厂选址/供应链网络如何规划？</w:t>
      </w:r>
    </w:p>
    <w:p w14:paraId="5071C71B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1. 网络规划的四个阶段</w:t>
      </w:r>
    </w:p>
    <w:p w14:paraId="37F03359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1）总仓阶段</w:t>
      </w:r>
    </w:p>
    <w:p w14:paraId="14EE9D5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2）子母仓阶段</w:t>
      </w:r>
    </w:p>
    <w:p w14:paraId="2116314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3）多点平行仓阶段</w:t>
      </w:r>
    </w:p>
    <w:p w14:paraId="6B6D262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4）智慧网络</w:t>
      </w:r>
    </w:p>
    <w:p w14:paraId="555D1981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2. 工厂选址/网络规划的四个要点</w:t>
      </w:r>
    </w:p>
    <w:p w14:paraId="6FA84F6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1）财务角度：投资回报ROI</w:t>
      </w:r>
    </w:p>
    <w:p w14:paraId="26FA8DE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2）客户角度：敏捷交付</w:t>
      </w:r>
    </w:p>
    <w:p w14:paraId="7522204B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3）运营角度：入场物流+出厂物流总成本（供应地与需求地）</w:t>
      </w:r>
    </w:p>
    <w:p w14:paraId="13011226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4）竞争角度：错位竞争</w:t>
      </w:r>
    </w:p>
    <w:p w14:paraId="2B21F833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五、供应链主计划如何</w:t>
      </w:r>
    </w:p>
    <w:p w14:paraId="513B7F70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1. 主计划编制的五大场景</w:t>
      </w:r>
    </w:p>
    <w:p w14:paraId="7294CD6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1）按约束工序</w:t>
      </w:r>
    </w:p>
    <w:p w14:paraId="5198702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2）按供应瓶颈</w:t>
      </w:r>
    </w:p>
    <w:p w14:paraId="6012BD76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3）按客户订单/设计图纸</w:t>
      </w:r>
    </w:p>
    <w:p w14:paraId="49FB5466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4）按政策指令</w:t>
      </w:r>
    </w:p>
    <w:p w14:paraId="49E1A28C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5）按历史数据</w:t>
      </w:r>
    </w:p>
    <w:p w14:paraId="7025B85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主计划编制的动态调整</w:t>
      </w:r>
    </w:p>
    <w:p w14:paraId="1D6D3A6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主计划的运营分解</w:t>
      </w:r>
    </w:p>
    <w:p w14:paraId="0265C734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六、供应链现金流预算编制</w:t>
      </w:r>
    </w:p>
    <w:p w14:paraId="1597C433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1. 企业三大报表</w:t>
      </w:r>
    </w:p>
    <w:p w14:paraId="7A4E95BE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1）资产负债表：时点表</w:t>
      </w:r>
      <w:r>
        <w:rPr>
          <w:rFonts w:ascii="宋体" w:hAnsi="宋体" w:eastAsia="宋体"/>
        </w:rPr>
        <w:t>—</w:t>
      </w:r>
      <w:r>
        <w:rPr>
          <w:rFonts w:hint="eastAsia" w:ascii="宋体" w:hAnsi="宋体" w:eastAsia="宋体"/>
        </w:rPr>
        <w:t>企业底子</w:t>
      </w:r>
    </w:p>
    <w:p w14:paraId="33D39A3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2）损益表：时期表</w:t>
      </w:r>
      <w:r>
        <w:rPr>
          <w:rFonts w:ascii="宋体" w:hAnsi="宋体" w:eastAsia="宋体"/>
        </w:rPr>
        <w:t>—</w:t>
      </w:r>
      <w:r>
        <w:rPr>
          <w:rFonts w:hint="eastAsia" w:ascii="宋体" w:hAnsi="宋体" w:eastAsia="宋体"/>
        </w:rPr>
        <w:t>企业面子</w:t>
      </w:r>
    </w:p>
    <w:p w14:paraId="731E5648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3）现金流量表：时期表</w:t>
      </w:r>
      <w:r>
        <w:rPr>
          <w:rFonts w:ascii="宋体" w:hAnsi="宋体" w:eastAsia="宋体"/>
        </w:rPr>
        <w:t>—</w:t>
      </w:r>
      <w:r>
        <w:rPr>
          <w:rFonts w:hint="eastAsia" w:ascii="宋体" w:hAnsi="宋体" w:eastAsia="宋体"/>
        </w:rPr>
        <w:t>企业日子</w:t>
      </w:r>
    </w:p>
    <w:p w14:paraId="6DE0F89F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2. 现金流控制的逻辑</w:t>
      </w:r>
    </w:p>
    <w:p w14:paraId="6AAEDE5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1）动态性</w:t>
      </w:r>
    </w:p>
    <w:p w14:paraId="51940C0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2）长期性</w:t>
      </w:r>
    </w:p>
    <w:p w14:paraId="3A8B346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3）均衡性</w:t>
      </w:r>
    </w:p>
    <w:p w14:paraId="09668766">
      <w:pPr>
        <w:pStyle w:val="14"/>
        <w:spacing w:line="480" w:lineRule="exact"/>
        <w:ind w:firstLine="0"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3. 如何用好资金杠杆</w:t>
      </w:r>
    </w:p>
    <w:p w14:paraId="3D651312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1）供应商的资金</w:t>
      </w:r>
    </w:p>
    <w:p w14:paraId="69996A29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2）政府的资金</w:t>
      </w:r>
    </w:p>
    <w:p w14:paraId="3D8A91D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3）固定资产的循环抵压</w:t>
      </w:r>
    </w:p>
    <w:p w14:paraId="5798BB8E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4）中标预付款</w:t>
      </w:r>
    </w:p>
    <w:p w14:paraId="19600D81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七、经营策略</w:t>
      </w:r>
    </w:p>
    <w:p w14:paraId="14F2DC5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供应</w:t>
      </w:r>
      <w:r>
        <w:rPr>
          <w:rFonts w:ascii="宋体" w:hAnsi="宋体" w:eastAsia="宋体"/>
        </w:rPr>
        <w:t>&lt;</w:t>
      </w:r>
      <w:r>
        <w:rPr>
          <w:rFonts w:hint="eastAsia" w:ascii="宋体" w:hAnsi="宋体" w:eastAsia="宋体"/>
        </w:rPr>
        <w:t>需求，以产订销</w:t>
      </w:r>
    </w:p>
    <w:p w14:paraId="43FAC9B8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供应</w:t>
      </w:r>
      <w:r>
        <w:rPr>
          <w:rFonts w:ascii="宋体" w:hAnsi="宋体" w:eastAsia="宋体"/>
        </w:rPr>
        <w:t>&gt;</w:t>
      </w:r>
      <w:r>
        <w:rPr>
          <w:rFonts w:hint="eastAsia" w:ascii="宋体" w:hAnsi="宋体" w:eastAsia="宋体"/>
        </w:rPr>
        <w:t>需求，以销订产</w:t>
      </w:r>
    </w:p>
    <w:p w14:paraId="77FCC34B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供应</w:t>
      </w:r>
      <w:r>
        <w:rPr>
          <w:rFonts w:ascii="宋体" w:hAnsi="宋体" w:eastAsia="宋体"/>
        </w:rPr>
        <w:t>=</w:t>
      </w:r>
      <w:r>
        <w:rPr>
          <w:rFonts w:hint="eastAsia" w:ascii="宋体" w:hAnsi="宋体" w:eastAsia="宋体"/>
        </w:rPr>
        <w:t>需求，两者结合</w:t>
      </w:r>
    </w:p>
    <w:p w14:paraId="36DD0491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八、协同机制</w:t>
      </w:r>
    </w:p>
    <w:p w14:paraId="5804ECF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一个领导（一个声音）</w:t>
      </w:r>
    </w:p>
    <w:p w14:paraId="5002B13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一个计划</w:t>
      </w:r>
    </w:p>
    <w:p w14:paraId="125578C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一个机制</w:t>
      </w:r>
    </w:p>
    <w:p w14:paraId="74063B8F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 一个文化</w:t>
      </w:r>
    </w:p>
    <w:p w14:paraId="2E27C6AD">
      <w:pPr>
        <w:pStyle w:val="14"/>
        <w:spacing w:line="480" w:lineRule="exact"/>
        <w:ind w:firstLine="0" w:firstLineChars="0"/>
        <w:rPr>
          <w:rFonts w:hint="eastAsia" w:ascii="宋体" w:hAnsi="宋体" w:eastAsia="宋体"/>
          <w:sz w:val="24"/>
          <w:szCs w:val="24"/>
        </w:rPr>
      </w:pPr>
    </w:p>
    <w:p w14:paraId="46FD99B6">
      <w:pPr>
        <w:spacing w:line="480" w:lineRule="exact"/>
        <w:ind w:left="-2" w:leftChars="-1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第二阶段：半年赛：发展阶段（供</w:t>
      </w:r>
      <w:r>
        <w:rPr>
          <w:rFonts w:ascii="宋体" w:hAnsi="宋体" w:eastAsia="宋体"/>
          <w:b/>
          <w:color w:val="1F4E79"/>
        </w:rPr>
        <w:t>=</w:t>
      </w:r>
      <w:r>
        <w:rPr>
          <w:rFonts w:hint="eastAsia" w:ascii="宋体" w:hAnsi="宋体" w:eastAsia="宋体"/>
          <w:b/>
          <w:color w:val="1F4E79"/>
        </w:rPr>
        <w:t>需）</w:t>
      </w:r>
    </w:p>
    <w:p w14:paraId="09FEC42C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一、供应链不确性怎么办</w:t>
      </w:r>
    </w:p>
    <w:p w14:paraId="0DB8726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风险识别</w:t>
      </w:r>
    </w:p>
    <w:p w14:paraId="780A7A0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风险预防</w:t>
      </w:r>
    </w:p>
    <w:p w14:paraId="44F8C58C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风险控制</w:t>
      </w:r>
    </w:p>
    <w:p w14:paraId="16BF65B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 风险应对</w:t>
      </w:r>
    </w:p>
    <w:p w14:paraId="47AD55B3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二、采购停工待料怎么办？</w:t>
      </w:r>
    </w:p>
    <w:p w14:paraId="5FBD8D6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需求预测</w:t>
      </w:r>
    </w:p>
    <w:p w14:paraId="05E7101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安全库存</w:t>
      </w:r>
    </w:p>
    <w:p w14:paraId="0C615AD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库存预警</w:t>
      </w:r>
    </w:p>
    <w:p w14:paraId="0DE68FB9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 敏捷补货（调节时间与数量）</w:t>
      </w:r>
    </w:p>
    <w:p w14:paraId="612466B9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三、如何订购最经济？</w:t>
      </w:r>
    </w:p>
    <w:p w14:paraId="4C85C21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定期订购</w:t>
      </w:r>
    </w:p>
    <w:p w14:paraId="4273C200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定量订购</w:t>
      </w:r>
    </w:p>
    <w:p w14:paraId="6DE64513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四、投标策略（循环滚动，阶梯控制，波士顿矩阵）</w:t>
      </w:r>
    </w:p>
    <w:p w14:paraId="35F4EA4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流量型客户（必须中标，可低价）</w:t>
      </w:r>
    </w:p>
    <w:p w14:paraId="0FCB9F4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增量型客户 （可中可不中，高价）</w:t>
      </w:r>
    </w:p>
    <w:p w14:paraId="67FAF06C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存量型客户 （必须中标，价格居中）</w:t>
      </w:r>
    </w:p>
    <w:p w14:paraId="20E64AAF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五、物流成本过高怎么办？</w:t>
      </w:r>
    </w:p>
    <w:p w14:paraId="3DCBE12F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规划阶段：就近中标</w:t>
      </w:r>
    </w:p>
    <w:p w14:paraId="518A9819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设计阶段：仓网模式设计</w:t>
      </w:r>
    </w:p>
    <w:p w14:paraId="4CF9D09F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执行阶段：运输方式+3P</w:t>
      </w:r>
      <w:r>
        <w:rPr>
          <w:rFonts w:ascii="宋体" w:hAnsi="宋体" w:eastAsia="宋体"/>
        </w:rPr>
        <w:t>L</w:t>
      </w:r>
      <w:r>
        <w:rPr>
          <w:rFonts w:hint="eastAsia" w:ascii="宋体" w:hAnsi="宋体" w:eastAsia="宋体"/>
        </w:rPr>
        <w:t xml:space="preserve"> 选择+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运送批量与频率</w:t>
      </w:r>
    </w:p>
    <w:p w14:paraId="26C53FED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六、生产成本过高怎么办？</w:t>
      </w:r>
    </w:p>
    <w:p w14:paraId="78322A9B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质量合格率 （边际效益递减现象）</w:t>
      </w:r>
    </w:p>
    <w:p w14:paraId="37996F66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设备稼动率 （减少生产停工待料）</w:t>
      </w:r>
    </w:p>
    <w:p w14:paraId="145375E6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提工厂升级 （规模效应）</w:t>
      </w:r>
    </w:p>
    <w:p w14:paraId="60DEA3DD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 库存周转率 （控制超限费）</w:t>
      </w:r>
    </w:p>
    <w:p w14:paraId="58412EAC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七、升级工厂导致现金流断裂怎么办？</w:t>
      </w:r>
    </w:p>
    <w:p w14:paraId="57A87112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重大决策协同</w:t>
      </w:r>
    </w:p>
    <w:p w14:paraId="7406B1A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升级前的准备</w:t>
      </w:r>
    </w:p>
    <w:p w14:paraId="3FDA4602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升级时的操作</w:t>
      </w:r>
    </w:p>
    <w:p w14:paraId="33BC9BC3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八、仓库爆仓怎么办？</w:t>
      </w:r>
    </w:p>
    <w:p w14:paraId="65B043EE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提高齐套率质量 （结合前置期错开下单）</w:t>
      </w:r>
    </w:p>
    <w:p w14:paraId="362AF53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分而治之策略（体积大小与价值高低不同策略）</w:t>
      </w:r>
    </w:p>
    <w:p w14:paraId="290E7DE6">
      <w:pPr>
        <w:spacing w:line="480" w:lineRule="exact"/>
        <w:rPr>
          <w:rFonts w:hint="eastAsia" w:ascii="宋体" w:hAnsi="宋体" w:eastAsia="宋体"/>
        </w:rPr>
      </w:pPr>
    </w:p>
    <w:p w14:paraId="2C00B380">
      <w:pPr>
        <w:spacing w:line="480" w:lineRule="exact"/>
        <w:ind w:left="-2" w:leftChars="-1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第三阶段：三季度赛：竞争阶段 （供&gt;需）</w:t>
      </w:r>
    </w:p>
    <w:p w14:paraId="31F31243">
      <w:pPr>
        <w:spacing w:line="480" w:lineRule="exact"/>
        <w:rPr>
          <w:rFonts w:hint="eastAsia" w:ascii="宋体" w:hAnsi="宋体" w:eastAsia="宋体"/>
          <w:b/>
          <w:bCs/>
          <w:color w:val="C45911"/>
        </w:rPr>
      </w:pPr>
      <w:r>
        <w:rPr>
          <w:rFonts w:hint="eastAsia" w:ascii="宋体" w:hAnsi="宋体" w:eastAsia="宋体"/>
          <w:b/>
          <w:bCs/>
          <w:color w:val="C45911"/>
        </w:rPr>
        <w:t>一、面对激烈竞争时企业发展的决策</w:t>
      </w:r>
    </w:p>
    <w:p w14:paraId="5510693C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生存</w:t>
      </w:r>
    </w:p>
    <w:p w14:paraId="71A1F4EA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发展</w:t>
      </w:r>
    </w:p>
    <w:p w14:paraId="6D3DB834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对抗</w:t>
      </w:r>
    </w:p>
    <w:p w14:paraId="73D0A530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 躺平</w:t>
      </w:r>
    </w:p>
    <w:p w14:paraId="265E1DD9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/>
          <w:bCs/>
          <w:color w:val="C45911"/>
        </w:rPr>
        <w:t>二、激烈竞争下的生存之道</w:t>
      </w:r>
    </w:p>
    <w:p w14:paraId="03ABC79B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降本增效</w:t>
      </w:r>
    </w:p>
    <w:p w14:paraId="70153A81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错位竞争</w:t>
      </w:r>
    </w:p>
    <w:p w14:paraId="797265B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定价调整</w:t>
      </w:r>
    </w:p>
    <w:p w14:paraId="34B50B40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4. 战略收缩（资产变现）</w:t>
      </w:r>
    </w:p>
    <w:p w14:paraId="207D7423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5. 竞争分析</w:t>
      </w:r>
    </w:p>
    <w:p w14:paraId="75FDB96C">
      <w:pPr>
        <w:spacing w:line="480" w:lineRule="exact"/>
        <w:rPr>
          <w:rFonts w:ascii="宋体" w:hAnsi="宋体" w:eastAsia="宋体"/>
          <w:b/>
          <w:color w:val="1F4E79"/>
        </w:rPr>
      </w:pPr>
    </w:p>
    <w:p w14:paraId="07DD2D0C">
      <w:pPr>
        <w:spacing w:line="480" w:lineRule="exact"/>
        <w:rPr>
          <w:rFonts w:hint="eastAsia" w:ascii="宋体" w:hAnsi="宋体" w:eastAsia="宋体"/>
          <w:b/>
          <w:color w:val="1F4E79"/>
        </w:rPr>
      </w:pPr>
      <w:r>
        <w:rPr>
          <w:rFonts w:hint="eastAsia" w:ascii="宋体" w:hAnsi="宋体" w:eastAsia="宋体"/>
          <w:b/>
          <w:color w:val="1F4E79"/>
        </w:rPr>
        <w:t>第四阶段</w:t>
      </w:r>
      <w:bookmarkStart w:id="0" w:name="_GoBack"/>
      <w:bookmarkEnd w:id="0"/>
      <w:r>
        <w:rPr>
          <w:rFonts w:hint="eastAsia" w:ascii="宋体" w:hAnsi="宋体" w:eastAsia="宋体"/>
          <w:b/>
          <w:color w:val="1F4E79"/>
        </w:rPr>
        <w:t>：年度赛：稳固/守成阶段（供</w:t>
      </w:r>
      <w:r>
        <w:rPr>
          <w:rFonts w:ascii="宋体" w:hAnsi="宋体" w:eastAsia="宋体"/>
          <w:b/>
          <w:color w:val="1F4E79"/>
        </w:rPr>
        <w:t>=</w:t>
      </w:r>
      <w:r>
        <w:rPr>
          <w:rFonts w:hint="eastAsia" w:ascii="宋体" w:hAnsi="宋体" w:eastAsia="宋体"/>
          <w:b/>
          <w:color w:val="1F4E79"/>
        </w:rPr>
        <w:t>需）</w:t>
      </w:r>
    </w:p>
    <w:p w14:paraId="4B15E00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1. 资产优化</w:t>
      </w:r>
    </w:p>
    <w:p w14:paraId="21404F00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 第二曲线创新</w:t>
      </w:r>
    </w:p>
    <w:p w14:paraId="3B238067">
      <w:pPr>
        <w:spacing w:line="48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 小结供应链思维：全局，长期，动态，平衡，风险，协同，分类</w:t>
      </w:r>
    </w:p>
    <w:p w14:paraId="5C01BB3E">
      <w:pPr>
        <w:pStyle w:val="6"/>
        <w:spacing w:before="0" w:beforeAutospacing="0" w:after="0" w:afterAutospacing="0" w:line="480" w:lineRule="exact"/>
        <w:rPr>
          <w:rFonts w:hint="eastAsia"/>
          <w:b/>
        </w:rPr>
      </w:pPr>
      <w:r>
        <w:rPr>
          <w:rFonts w:hint="eastAsia"/>
          <w:b/>
        </w:rPr>
        <w:t>华为、联想、戴尔、古龙、海尔、海信、思念、益海嘉里</w:t>
      </w:r>
      <w:r>
        <w:rPr>
          <w:b/>
        </w:rPr>
        <w:t>……500</w:t>
      </w:r>
      <w:r>
        <w:rPr>
          <w:rFonts w:hint="eastAsia"/>
          <w:b/>
        </w:rPr>
        <w:t>强的共同选择。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64104319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51911290">
            <w:pPr>
              <w:pStyle w:val="4"/>
            </w:pPr>
            <w:r>
              <w:rPr>
                <w:rFonts w:hint="eastAsia" w:ascii="仿宋" w:hAnsi="仿宋" w:eastAsia="仿宋"/>
                <w:b/>
              </w:rPr>
              <w:t>第</w:t>
            </w:r>
            <w:r>
              <w:rPr>
                <w:rFonts w:ascii="仿宋" w:hAnsi="仿宋" w:eastAsia="仿宋"/>
                <w:b/>
                <w:lang w:val="zh-CN"/>
              </w:rPr>
              <w:t xml:space="preserve"> </w:t>
            </w:r>
            <w:r>
              <w:rPr>
                <w:rFonts w:ascii="仿宋" w:hAnsi="仿宋" w:eastAsia="仿宋"/>
                <w:b/>
                <w:bCs/>
              </w:rPr>
              <w:fldChar w:fldCharType="begin"/>
            </w:r>
            <w:r>
              <w:rPr>
                <w:rFonts w:ascii="仿宋" w:hAnsi="仿宋" w:eastAsia="仿宋"/>
                <w:b/>
                <w:bCs/>
              </w:rPr>
              <w:instrText xml:space="preserve">PAGE</w:instrText>
            </w:r>
            <w:r>
              <w:rPr>
                <w:rFonts w:ascii="仿宋" w:hAnsi="仿宋" w:eastAsia="仿宋"/>
                <w:b/>
                <w:bCs/>
              </w:rPr>
              <w:fldChar w:fldCharType="separate"/>
            </w:r>
            <w:r>
              <w:rPr>
                <w:rFonts w:ascii="仿宋" w:hAnsi="仿宋" w:eastAsia="仿宋"/>
                <w:b/>
                <w:bCs/>
              </w:rPr>
              <w:t>9</w:t>
            </w:r>
            <w:r>
              <w:rPr>
                <w:rFonts w:ascii="仿宋" w:hAnsi="仿宋" w:eastAsia="仿宋"/>
                <w:b/>
                <w:bCs/>
              </w:rPr>
              <w:fldChar w:fldCharType="end"/>
            </w:r>
            <w:r>
              <w:rPr>
                <w:rFonts w:ascii="仿宋" w:hAnsi="仿宋" w:eastAsia="仿宋"/>
                <w:b/>
                <w:lang w:val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lang w:val="zh-CN"/>
              </w:rPr>
              <w:t>页</w:t>
            </w:r>
            <w:r>
              <w:rPr>
                <w:rFonts w:ascii="仿宋" w:hAnsi="仿宋" w:eastAsia="仿宋"/>
                <w:b/>
                <w:lang w:val="zh-CN"/>
              </w:rPr>
              <w:t>/</w:t>
            </w:r>
            <w:r>
              <w:rPr>
                <w:rFonts w:hint="eastAsia" w:ascii="仿宋" w:hAnsi="仿宋" w:eastAsia="仿宋"/>
                <w:b/>
                <w:lang w:val="zh-CN"/>
              </w:rPr>
              <w:t>共</w:t>
            </w:r>
            <w:r>
              <w:rPr>
                <w:rFonts w:ascii="仿宋" w:hAnsi="仿宋" w:eastAsia="仿宋"/>
                <w:b/>
                <w:lang w:val="zh-CN"/>
              </w:rPr>
              <w:t xml:space="preserve"> </w:t>
            </w:r>
            <w:r>
              <w:rPr>
                <w:rFonts w:ascii="仿宋" w:hAnsi="仿宋" w:eastAsia="仿宋"/>
                <w:b/>
                <w:bCs/>
              </w:rPr>
              <w:fldChar w:fldCharType="begin"/>
            </w:r>
            <w:r>
              <w:rPr>
                <w:rFonts w:ascii="仿宋" w:hAnsi="仿宋" w:eastAsia="仿宋"/>
                <w:b/>
                <w:bCs/>
              </w:rPr>
              <w:instrText xml:space="preserve">NUMPAGES</w:instrText>
            </w:r>
            <w:r>
              <w:rPr>
                <w:rFonts w:ascii="仿宋" w:hAnsi="仿宋" w:eastAsia="仿宋"/>
                <w:b/>
                <w:bCs/>
              </w:rPr>
              <w:fldChar w:fldCharType="separate"/>
            </w:r>
            <w:r>
              <w:rPr>
                <w:rFonts w:ascii="仿宋" w:hAnsi="仿宋" w:eastAsia="仿宋"/>
                <w:b/>
                <w:bCs/>
              </w:rPr>
              <w:t>9</w:t>
            </w:r>
            <w:r>
              <w:rPr>
                <w:rFonts w:ascii="仿宋" w:hAnsi="仿宋" w:eastAsia="仿宋"/>
                <w:b/>
                <w:bCs/>
              </w:rPr>
              <w:fldChar w:fldCharType="end"/>
            </w:r>
            <w:r>
              <w:rPr>
                <w:rFonts w:hint="eastAsia" w:ascii="仿宋" w:hAnsi="仿宋" w:eastAsia="仿宋"/>
                <w:b/>
                <w:bCs/>
              </w:rPr>
              <w:t>页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95"/>
    <w:rsid w:val="000163BE"/>
    <w:rsid w:val="000215A6"/>
    <w:rsid w:val="0002356A"/>
    <w:rsid w:val="000279D0"/>
    <w:rsid w:val="00032082"/>
    <w:rsid w:val="000444DC"/>
    <w:rsid w:val="00050D6F"/>
    <w:rsid w:val="000511EC"/>
    <w:rsid w:val="0005382E"/>
    <w:rsid w:val="0005785B"/>
    <w:rsid w:val="000702C1"/>
    <w:rsid w:val="000867F8"/>
    <w:rsid w:val="00094221"/>
    <w:rsid w:val="00094CAF"/>
    <w:rsid w:val="000C05CE"/>
    <w:rsid w:val="000C0FF8"/>
    <w:rsid w:val="000C5A99"/>
    <w:rsid w:val="000C6F7E"/>
    <w:rsid w:val="000D0DEB"/>
    <w:rsid w:val="000D2748"/>
    <w:rsid w:val="000E4B20"/>
    <w:rsid w:val="00121D7B"/>
    <w:rsid w:val="00122586"/>
    <w:rsid w:val="00130747"/>
    <w:rsid w:val="001335F5"/>
    <w:rsid w:val="00140726"/>
    <w:rsid w:val="00152459"/>
    <w:rsid w:val="00153B6F"/>
    <w:rsid w:val="00155ACA"/>
    <w:rsid w:val="00157824"/>
    <w:rsid w:val="00160DFA"/>
    <w:rsid w:val="00164180"/>
    <w:rsid w:val="0018074B"/>
    <w:rsid w:val="00181CE3"/>
    <w:rsid w:val="00187A84"/>
    <w:rsid w:val="0019021C"/>
    <w:rsid w:val="001930A6"/>
    <w:rsid w:val="001A24FA"/>
    <w:rsid w:val="001B35DF"/>
    <w:rsid w:val="001C0324"/>
    <w:rsid w:val="001D58D7"/>
    <w:rsid w:val="001E6036"/>
    <w:rsid w:val="001E7D14"/>
    <w:rsid w:val="001E7EE6"/>
    <w:rsid w:val="001F0F5F"/>
    <w:rsid w:val="00205A72"/>
    <w:rsid w:val="0022217A"/>
    <w:rsid w:val="002318A7"/>
    <w:rsid w:val="00246CED"/>
    <w:rsid w:val="00251AE9"/>
    <w:rsid w:val="002520B7"/>
    <w:rsid w:val="00252DE2"/>
    <w:rsid w:val="0025548B"/>
    <w:rsid w:val="002558DE"/>
    <w:rsid w:val="00257586"/>
    <w:rsid w:val="00260750"/>
    <w:rsid w:val="0026193A"/>
    <w:rsid w:val="00265374"/>
    <w:rsid w:val="00266338"/>
    <w:rsid w:val="0027360A"/>
    <w:rsid w:val="002777F2"/>
    <w:rsid w:val="00280576"/>
    <w:rsid w:val="00281AD9"/>
    <w:rsid w:val="0029438C"/>
    <w:rsid w:val="00294CF6"/>
    <w:rsid w:val="002A11B0"/>
    <w:rsid w:val="002A7F0B"/>
    <w:rsid w:val="002B0E3F"/>
    <w:rsid w:val="002C423C"/>
    <w:rsid w:val="002D2958"/>
    <w:rsid w:val="002D41D2"/>
    <w:rsid w:val="002E2694"/>
    <w:rsid w:val="002E6FFD"/>
    <w:rsid w:val="003077C3"/>
    <w:rsid w:val="003137C0"/>
    <w:rsid w:val="003239FA"/>
    <w:rsid w:val="00324928"/>
    <w:rsid w:val="00326004"/>
    <w:rsid w:val="0033327C"/>
    <w:rsid w:val="00337912"/>
    <w:rsid w:val="00342D57"/>
    <w:rsid w:val="00350F66"/>
    <w:rsid w:val="00357EA0"/>
    <w:rsid w:val="00361067"/>
    <w:rsid w:val="003657AA"/>
    <w:rsid w:val="0037161E"/>
    <w:rsid w:val="00391BE4"/>
    <w:rsid w:val="003E0E88"/>
    <w:rsid w:val="003E264D"/>
    <w:rsid w:val="003E4DB8"/>
    <w:rsid w:val="003E59CB"/>
    <w:rsid w:val="003F7EEC"/>
    <w:rsid w:val="004135F6"/>
    <w:rsid w:val="00415447"/>
    <w:rsid w:val="00426ABF"/>
    <w:rsid w:val="00432EC7"/>
    <w:rsid w:val="00435C46"/>
    <w:rsid w:val="0044196D"/>
    <w:rsid w:val="00443232"/>
    <w:rsid w:val="00451C87"/>
    <w:rsid w:val="00456212"/>
    <w:rsid w:val="00460DFC"/>
    <w:rsid w:val="004626CA"/>
    <w:rsid w:val="00476D5D"/>
    <w:rsid w:val="00484E6D"/>
    <w:rsid w:val="004A14EC"/>
    <w:rsid w:val="004A2193"/>
    <w:rsid w:val="004B37F5"/>
    <w:rsid w:val="004B3B74"/>
    <w:rsid w:val="004B7358"/>
    <w:rsid w:val="004B7F0C"/>
    <w:rsid w:val="004C72FC"/>
    <w:rsid w:val="004E24E7"/>
    <w:rsid w:val="004E79A9"/>
    <w:rsid w:val="004F045F"/>
    <w:rsid w:val="004F4CC4"/>
    <w:rsid w:val="00500260"/>
    <w:rsid w:val="005037DE"/>
    <w:rsid w:val="0051293D"/>
    <w:rsid w:val="00517AC5"/>
    <w:rsid w:val="005254C9"/>
    <w:rsid w:val="00525D2E"/>
    <w:rsid w:val="005315D8"/>
    <w:rsid w:val="00540016"/>
    <w:rsid w:val="005402DB"/>
    <w:rsid w:val="00540EDE"/>
    <w:rsid w:val="005415CA"/>
    <w:rsid w:val="00544226"/>
    <w:rsid w:val="00550054"/>
    <w:rsid w:val="00566831"/>
    <w:rsid w:val="00574617"/>
    <w:rsid w:val="00577AA0"/>
    <w:rsid w:val="005833A7"/>
    <w:rsid w:val="00586649"/>
    <w:rsid w:val="00593A28"/>
    <w:rsid w:val="00594B14"/>
    <w:rsid w:val="005A0386"/>
    <w:rsid w:val="005A48B8"/>
    <w:rsid w:val="005A4B74"/>
    <w:rsid w:val="005B2CB1"/>
    <w:rsid w:val="005C0AAD"/>
    <w:rsid w:val="005E1036"/>
    <w:rsid w:val="005E4E9E"/>
    <w:rsid w:val="005F272D"/>
    <w:rsid w:val="00600CB1"/>
    <w:rsid w:val="00615CAF"/>
    <w:rsid w:val="00615E71"/>
    <w:rsid w:val="00640E94"/>
    <w:rsid w:val="00642972"/>
    <w:rsid w:val="00643ACA"/>
    <w:rsid w:val="00650337"/>
    <w:rsid w:val="00654BC3"/>
    <w:rsid w:val="006563B2"/>
    <w:rsid w:val="00660898"/>
    <w:rsid w:val="006639FB"/>
    <w:rsid w:val="00670350"/>
    <w:rsid w:val="0068236B"/>
    <w:rsid w:val="00692482"/>
    <w:rsid w:val="006A3253"/>
    <w:rsid w:val="006A6732"/>
    <w:rsid w:val="006A6D23"/>
    <w:rsid w:val="006B1DDA"/>
    <w:rsid w:val="006B45BB"/>
    <w:rsid w:val="006D5818"/>
    <w:rsid w:val="006E0435"/>
    <w:rsid w:val="006F3878"/>
    <w:rsid w:val="006F67EA"/>
    <w:rsid w:val="00704BCE"/>
    <w:rsid w:val="00713BE4"/>
    <w:rsid w:val="00720571"/>
    <w:rsid w:val="00720DCE"/>
    <w:rsid w:val="007333D8"/>
    <w:rsid w:val="00737DBB"/>
    <w:rsid w:val="0074789F"/>
    <w:rsid w:val="00747B40"/>
    <w:rsid w:val="00753522"/>
    <w:rsid w:val="007546A4"/>
    <w:rsid w:val="00760B4C"/>
    <w:rsid w:val="0076345E"/>
    <w:rsid w:val="00766D2C"/>
    <w:rsid w:val="00785149"/>
    <w:rsid w:val="007A1D6B"/>
    <w:rsid w:val="007C5506"/>
    <w:rsid w:val="007C6E56"/>
    <w:rsid w:val="007E08CA"/>
    <w:rsid w:val="00801A94"/>
    <w:rsid w:val="00810D83"/>
    <w:rsid w:val="008124E0"/>
    <w:rsid w:val="0081323D"/>
    <w:rsid w:val="008363E1"/>
    <w:rsid w:val="00842152"/>
    <w:rsid w:val="00861381"/>
    <w:rsid w:val="00862A58"/>
    <w:rsid w:val="00866D47"/>
    <w:rsid w:val="008928BF"/>
    <w:rsid w:val="00895CA7"/>
    <w:rsid w:val="008A3F62"/>
    <w:rsid w:val="008C0CC5"/>
    <w:rsid w:val="008D1475"/>
    <w:rsid w:val="008E609A"/>
    <w:rsid w:val="008F017E"/>
    <w:rsid w:val="008F3F95"/>
    <w:rsid w:val="008F4D27"/>
    <w:rsid w:val="009002C8"/>
    <w:rsid w:val="009049A3"/>
    <w:rsid w:val="00906981"/>
    <w:rsid w:val="00912B5C"/>
    <w:rsid w:val="009231DF"/>
    <w:rsid w:val="00933E5E"/>
    <w:rsid w:val="009419B2"/>
    <w:rsid w:val="0094350D"/>
    <w:rsid w:val="00944C35"/>
    <w:rsid w:val="00946065"/>
    <w:rsid w:val="009550B1"/>
    <w:rsid w:val="00955A6E"/>
    <w:rsid w:val="00956A7E"/>
    <w:rsid w:val="00956D9E"/>
    <w:rsid w:val="00957685"/>
    <w:rsid w:val="00963DD4"/>
    <w:rsid w:val="0097115F"/>
    <w:rsid w:val="00974846"/>
    <w:rsid w:val="00975529"/>
    <w:rsid w:val="0097561F"/>
    <w:rsid w:val="009849DB"/>
    <w:rsid w:val="0099707D"/>
    <w:rsid w:val="009A2C41"/>
    <w:rsid w:val="009A6413"/>
    <w:rsid w:val="009B6DB3"/>
    <w:rsid w:val="009C0052"/>
    <w:rsid w:val="009C0DF2"/>
    <w:rsid w:val="009C38EE"/>
    <w:rsid w:val="009C38F5"/>
    <w:rsid w:val="009D5FEE"/>
    <w:rsid w:val="009E5D4E"/>
    <w:rsid w:val="009E65B1"/>
    <w:rsid w:val="009F77EB"/>
    <w:rsid w:val="00A022BA"/>
    <w:rsid w:val="00A15294"/>
    <w:rsid w:val="00A1544F"/>
    <w:rsid w:val="00A201E3"/>
    <w:rsid w:val="00A8040C"/>
    <w:rsid w:val="00A808A3"/>
    <w:rsid w:val="00A83668"/>
    <w:rsid w:val="00A87900"/>
    <w:rsid w:val="00A90A63"/>
    <w:rsid w:val="00A91BD4"/>
    <w:rsid w:val="00AA46E1"/>
    <w:rsid w:val="00AA7CDC"/>
    <w:rsid w:val="00AB4C93"/>
    <w:rsid w:val="00AB691E"/>
    <w:rsid w:val="00AC6FE1"/>
    <w:rsid w:val="00AE4B1D"/>
    <w:rsid w:val="00AE4CA4"/>
    <w:rsid w:val="00AE720C"/>
    <w:rsid w:val="00AF0969"/>
    <w:rsid w:val="00AF2A63"/>
    <w:rsid w:val="00B044FE"/>
    <w:rsid w:val="00B113FF"/>
    <w:rsid w:val="00B15A9F"/>
    <w:rsid w:val="00B25B1B"/>
    <w:rsid w:val="00B32B62"/>
    <w:rsid w:val="00B3404E"/>
    <w:rsid w:val="00B358DD"/>
    <w:rsid w:val="00B36FA9"/>
    <w:rsid w:val="00B37050"/>
    <w:rsid w:val="00B46C6F"/>
    <w:rsid w:val="00B52307"/>
    <w:rsid w:val="00B540EC"/>
    <w:rsid w:val="00B71E67"/>
    <w:rsid w:val="00B74D37"/>
    <w:rsid w:val="00B80873"/>
    <w:rsid w:val="00B825E1"/>
    <w:rsid w:val="00B95B6F"/>
    <w:rsid w:val="00BA123B"/>
    <w:rsid w:val="00BC3CD1"/>
    <w:rsid w:val="00BC4173"/>
    <w:rsid w:val="00BC745E"/>
    <w:rsid w:val="00BD550A"/>
    <w:rsid w:val="00BE526C"/>
    <w:rsid w:val="00BF5626"/>
    <w:rsid w:val="00BF782D"/>
    <w:rsid w:val="00C011A7"/>
    <w:rsid w:val="00C02E6C"/>
    <w:rsid w:val="00C038ED"/>
    <w:rsid w:val="00C110C7"/>
    <w:rsid w:val="00C11977"/>
    <w:rsid w:val="00C26525"/>
    <w:rsid w:val="00C35D91"/>
    <w:rsid w:val="00C45353"/>
    <w:rsid w:val="00C46E0D"/>
    <w:rsid w:val="00C53452"/>
    <w:rsid w:val="00C57BBC"/>
    <w:rsid w:val="00C57C06"/>
    <w:rsid w:val="00C66787"/>
    <w:rsid w:val="00C80DBE"/>
    <w:rsid w:val="00C8540C"/>
    <w:rsid w:val="00C92D25"/>
    <w:rsid w:val="00C93D76"/>
    <w:rsid w:val="00C961F7"/>
    <w:rsid w:val="00CB0146"/>
    <w:rsid w:val="00CB42DD"/>
    <w:rsid w:val="00CC3F0F"/>
    <w:rsid w:val="00CD6331"/>
    <w:rsid w:val="00CF21B9"/>
    <w:rsid w:val="00CF48D5"/>
    <w:rsid w:val="00CF73FA"/>
    <w:rsid w:val="00D06881"/>
    <w:rsid w:val="00D1698C"/>
    <w:rsid w:val="00D16A31"/>
    <w:rsid w:val="00D20DC4"/>
    <w:rsid w:val="00D25D6B"/>
    <w:rsid w:val="00D278A7"/>
    <w:rsid w:val="00D27F45"/>
    <w:rsid w:val="00D32066"/>
    <w:rsid w:val="00D36E7C"/>
    <w:rsid w:val="00D37230"/>
    <w:rsid w:val="00D61302"/>
    <w:rsid w:val="00D6382A"/>
    <w:rsid w:val="00D71D69"/>
    <w:rsid w:val="00D760FF"/>
    <w:rsid w:val="00D82E1C"/>
    <w:rsid w:val="00D92F22"/>
    <w:rsid w:val="00DA11B3"/>
    <w:rsid w:val="00DA3B75"/>
    <w:rsid w:val="00DA55A8"/>
    <w:rsid w:val="00DB07F2"/>
    <w:rsid w:val="00DB40A9"/>
    <w:rsid w:val="00DB615D"/>
    <w:rsid w:val="00DC1BA0"/>
    <w:rsid w:val="00DD1AFF"/>
    <w:rsid w:val="00DD5802"/>
    <w:rsid w:val="00DE543E"/>
    <w:rsid w:val="00DF275B"/>
    <w:rsid w:val="00DF6A85"/>
    <w:rsid w:val="00E05ECF"/>
    <w:rsid w:val="00E13BCE"/>
    <w:rsid w:val="00E23EE6"/>
    <w:rsid w:val="00E2544A"/>
    <w:rsid w:val="00E30F32"/>
    <w:rsid w:val="00E32FF6"/>
    <w:rsid w:val="00E37295"/>
    <w:rsid w:val="00E4644F"/>
    <w:rsid w:val="00E5196B"/>
    <w:rsid w:val="00E522C6"/>
    <w:rsid w:val="00E56705"/>
    <w:rsid w:val="00E62661"/>
    <w:rsid w:val="00E62B19"/>
    <w:rsid w:val="00E65320"/>
    <w:rsid w:val="00E728AC"/>
    <w:rsid w:val="00EA07A4"/>
    <w:rsid w:val="00EA3D72"/>
    <w:rsid w:val="00EA63EE"/>
    <w:rsid w:val="00EB5517"/>
    <w:rsid w:val="00EB6E66"/>
    <w:rsid w:val="00EC1938"/>
    <w:rsid w:val="00EC2A39"/>
    <w:rsid w:val="00EC2BE1"/>
    <w:rsid w:val="00EC6A59"/>
    <w:rsid w:val="00EC79B1"/>
    <w:rsid w:val="00EF06AC"/>
    <w:rsid w:val="00F0336C"/>
    <w:rsid w:val="00F05316"/>
    <w:rsid w:val="00F068EB"/>
    <w:rsid w:val="00F20359"/>
    <w:rsid w:val="00F33467"/>
    <w:rsid w:val="00F33C31"/>
    <w:rsid w:val="00F74ECB"/>
    <w:rsid w:val="00F84506"/>
    <w:rsid w:val="00F96A06"/>
    <w:rsid w:val="00FA1691"/>
    <w:rsid w:val="00FA1699"/>
    <w:rsid w:val="00FA59BC"/>
    <w:rsid w:val="00FB54D9"/>
    <w:rsid w:val="00FC2927"/>
    <w:rsid w:val="00FD2971"/>
    <w:rsid w:val="00FD56D0"/>
    <w:rsid w:val="00FE11DC"/>
    <w:rsid w:val="00FE2D97"/>
    <w:rsid w:val="00FE4D7E"/>
    <w:rsid w:val="00FE5A89"/>
    <w:rsid w:val="00FF3CF5"/>
    <w:rsid w:val="4BB356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2"/>
    <w:basedOn w:val="1"/>
    <w:link w:val="15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pPr>
      <w:widowControl w:val="0"/>
      <w:jc w:val="both"/>
    </w:pPr>
    <w:rPr>
      <w:rFonts w:asciiTheme="minorHAnsi" w:hAnsiTheme="minorHAnsi" w:cstheme="minorBidi"/>
      <w:kern w:val="2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customStyle="1" w:styleId="15">
    <w:name w:val="标题 2 字符"/>
    <w:basedOn w:val="8"/>
    <w:link w:val="2"/>
    <w:qFormat/>
    <w:uiPriority w:val="9"/>
    <w:rPr>
      <w:rFonts w:ascii="Times New Roman" w:hAnsi="Times New Roman" w:cs="Times New Roman"/>
      <w:b/>
      <w:bCs/>
      <w:kern w:val="0"/>
      <w:sz w:val="36"/>
      <w:szCs w:val="36"/>
    </w:rPr>
  </w:style>
  <w:style w:type="table" w:customStyle="1" w:styleId="16">
    <w:name w:val="网格型浅色1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7451F-249A-48B7-8591-4D41597E80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2112</Words>
  <Characters>2224</Characters>
  <Lines>17</Lines>
  <Paragraphs>5</Paragraphs>
  <TotalTime>2</TotalTime>
  <ScaleCrop>false</ScaleCrop>
  <LinksUpToDate>false</LinksUpToDate>
  <CharactersWithSpaces>2314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2018-06-10T07:14:00Z</dcterms:created>
  <dc:creator>微软用户</dc:creator>
  <cp:lastModifiedBy>何粤</cp:lastModifiedBy>
  <cp:lastPrinted>2014-11-20T04:40:00Z</cp:lastPrinted>
  <dcterms:modified xsi:type="dcterms:W3CDTF">2026-04-24T02:16:51Z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eyJoZGlkIjoiNmRkMWQ5M2UyYjJiMGZhNGFkODgyYjJhYzNjMmE1NTciLCJ1c2VySWQiOiIxNjE1ODUzOTY4In0=</vt:lpwstr>
  </property>
  <property fmtid="{D5CDD505-2E9C-101B-9397-08002B2CF9AE}" pid="3" name="KSOProductBuildVer">
    <vt:lpwstr>2052-12.1.0.25865</vt:lpwstr>
  </property>
  <property fmtid="{D5CDD505-2E9C-101B-9397-08002B2CF9AE}" pid="4" name="ICV">
    <vt:lpwstr>878E0E8BBC9D4B2686F6CCABFD463350_13</vt:lpwstr>
  </property>
</Properties>
</file>