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B59BF77">
      <w:pPr>
        <w:spacing w:line="480" w:lineRule="exact"/>
        <w:jc w:val="center"/>
        <w:rPr>
          <w:rFonts w:hint="eastAsia" w:ascii="宋体" w:hAnsi="宋体"/>
          <w:b/>
          <w:color w:val="1F4E79"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color w:val="1F4E79"/>
          <w:sz w:val="32"/>
          <w:szCs w:val="32"/>
        </w:rPr>
        <w:t>需求预测、产销协同S</w:t>
      </w:r>
      <w:r>
        <w:rPr>
          <w:rFonts w:ascii="宋体" w:hAnsi="宋体"/>
          <w:b/>
          <w:color w:val="1F4E79"/>
          <w:sz w:val="32"/>
          <w:szCs w:val="32"/>
        </w:rPr>
        <w:t>&amp;OP</w:t>
      </w:r>
      <w:r>
        <w:rPr>
          <w:rFonts w:hint="eastAsia" w:ascii="宋体" w:hAnsi="宋体"/>
          <w:b/>
          <w:color w:val="1F4E79"/>
          <w:sz w:val="32"/>
          <w:szCs w:val="32"/>
        </w:rPr>
        <w:t>与库存控制</w:t>
      </w:r>
    </w:p>
    <w:p w14:paraId="1D05925B">
      <w:pPr>
        <w:spacing w:line="480" w:lineRule="exact"/>
        <w:rPr>
          <w:rFonts w:ascii="宋体" w:hAnsi="宋体"/>
          <w:b/>
          <w:sz w:val="24"/>
          <w:szCs w:val="24"/>
        </w:rPr>
      </w:pPr>
    </w:p>
    <w:p w14:paraId="0653AEA5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  <w:szCs w:val="24"/>
        </w:rPr>
        <w:t>课程背景：</w:t>
      </w:r>
    </w:p>
    <w:p w14:paraId="6DAB62BE">
      <w:pPr>
        <w:pStyle w:val="6"/>
        <w:shd w:val="clear" w:color="auto" w:fill="FFFFFF"/>
        <w:spacing w:before="0" w:beforeAutospacing="0" w:after="0" w:afterAutospacing="0" w:line="480" w:lineRule="exact"/>
        <w:jc w:val="both"/>
        <w:rPr>
          <w:rFonts w:cs="Helvetica"/>
          <w:b/>
        </w:rPr>
      </w:pPr>
      <w:r>
        <w:rPr>
          <w:rStyle w:val="10"/>
          <w:rFonts w:hint="eastAsia" w:cs="Helvetica"/>
          <w:b w:val="0"/>
        </w:rPr>
        <w:t>1. 企业是否库存水平高涨，缺货率却愈加频繁</w:t>
      </w:r>
    </w:p>
    <w:p w14:paraId="4A973ABD">
      <w:pPr>
        <w:pStyle w:val="6"/>
        <w:shd w:val="clear" w:color="auto" w:fill="FFFFFF"/>
        <w:spacing w:before="0" w:beforeAutospacing="0" w:after="0" w:afterAutospacing="0" w:line="480" w:lineRule="exact"/>
        <w:jc w:val="both"/>
        <w:rPr>
          <w:rFonts w:cs="Helvetica"/>
          <w:b/>
        </w:rPr>
      </w:pPr>
      <w:r>
        <w:rPr>
          <w:rStyle w:val="10"/>
          <w:rFonts w:hint="eastAsia" w:cs="Helvetica"/>
          <w:b w:val="0"/>
        </w:rPr>
        <w:t>2. 企业是否急单引起插单，效率低下矛盾重重</w:t>
      </w:r>
    </w:p>
    <w:p w14:paraId="08CBD079">
      <w:pPr>
        <w:pStyle w:val="6"/>
        <w:shd w:val="clear" w:color="auto" w:fill="FFFFFF"/>
        <w:spacing w:before="0" w:beforeAutospacing="0" w:after="0" w:afterAutospacing="0" w:line="480" w:lineRule="exact"/>
        <w:jc w:val="both"/>
        <w:rPr>
          <w:rFonts w:cs="Helvetica"/>
          <w:b/>
        </w:rPr>
      </w:pPr>
      <w:r>
        <w:rPr>
          <w:rStyle w:val="10"/>
          <w:rFonts w:hint="eastAsia" w:cs="Helvetica"/>
          <w:b w:val="0"/>
        </w:rPr>
        <w:t>3. 企业是否库存周转率低，资金需求高于同行</w:t>
      </w:r>
    </w:p>
    <w:p w14:paraId="09B627C3">
      <w:pPr>
        <w:pStyle w:val="6"/>
        <w:shd w:val="clear" w:color="auto" w:fill="FFFFFF"/>
        <w:spacing w:before="0" w:beforeAutospacing="0" w:after="0" w:afterAutospacing="0" w:line="480" w:lineRule="exact"/>
        <w:jc w:val="both"/>
        <w:rPr>
          <w:rFonts w:cs="Helvetica"/>
          <w:b/>
        </w:rPr>
      </w:pPr>
      <w:r>
        <w:rPr>
          <w:rStyle w:val="10"/>
          <w:rFonts w:hint="eastAsia" w:cs="Helvetica"/>
          <w:b w:val="0"/>
        </w:rPr>
        <w:t>4. 是否面临订单批量越小，交付期越短的压力</w:t>
      </w:r>
    </w:p>
    <w:p w14:paraId="2E0B2586">
      <w:pPr>
        <w:pStyle w:val="6"/>
        <w:shd w:val="clear" w:color="auto" w:fill="FFFFFF"/>
        <w:spacing w:before="0" w:beforeAutospacing="0" w:after="0" w:afterAutospacing="0" w:line="480" w:lineRule="exact"/>
        <w:jc w:val="both"/>
        <w:rPr>
          <w:rFonts w:cs="Helvetica"/>
          <w:b/>
        </w:rPr>
      </w:pPr>
      <w:r>
        <w:rPr>
          <w:rStyle w:val="10"/>
          <w:rFonts w:hint="eastAsia" w:cs="Helvetica"/>
          <w:b w:val="0"/>
        </w:rPr>
        <w:t>5. 是否安全库存标准不变，从来没有动态调整</w:t>
      </w:r>
    </w:p>
    <w:p w14:paraId="46870DB0">
      <w:pPr>
        <w:pStyle w:val="6"/>
        <w:shd w:val="clear" w:color="auto" w:fill="FFFFFF"/>
        <w:spacing w:before="0" w:beforeAutospacing="0" w:after="0" w:afterAutospacing="0" w:line="480" w:lineRule="exact"/>
        <w:jc w:val="both"/>
        <w:rPr>
          <w:rFonts w:cs="Helvetica"/>
          <w:b/>
        </w:rPr>
      </w:pPr>
      <w:r>
        <w:rPr>
          <w:rStyle w:val="10"/>
          <w:rFonts w:hint="eastAsia" w:cs="Helvetica"/>
          <w:b w:val="0"/>
        </w:rPr>
        <w:t>6. 是否通用一种预测模型，缺乏分而治之策略</w:t>
      </w:r>
    </w:p>
    <w:p w14:paraId="42D58A65">
      <w:pPr>
        <w:pStyle w:val="6"/>
        <w:shd w:val="clear" w:color="auto" w:fill="FFFFFF"/>
        <w:spacing w:before="0" w:beforeAutospacing="0" w:after="0" w:afterAutospacing="0" w:line="480" w:lineRule="exact"/>
        <w:jc w:val="both"/>
        <w:rPr>
          <w:rFonts w:cs="Helvetica"/>
          <w:b/>
        </w:rPr>
      </w:pPr>
      <w:r>
        <w:rPr>
          <w:rStyle w:val="10"/>
          <w:rFonts w:hint="eastAsia" w:cs="Helvetica"/>
          <w:b w:val="0"/>
        </w:rPr>
        <w:t>7. 采购生产销售相互独立，缺乏系统团队协作</w:t>
      </w:r>
    </w:p>
    <w:p w14:paraId="742AF821">
      <w:pPr>
        <w:spacing w:line="480" w:lineRule="exact"/>
        <w:rPr>
          <w:rFonts w:ascii="宋体" w:hAnsi="宋体"/>
          <w:b/>
          <w:sz w:val="24"/>
          <w:szCs w:val="24"/>
        </w:rPr>
      </w:pPr>
    </w:p>
    <w:p w14:paraId="3FD793D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  <w:szCs w:val="24"/>
        </w:rPr>
        <w:t>课程</w:t>
      </w:r>
      <w:r>
        <w:rPr>
          <w:rFonts w:ascii="宋体" w:hAnsi="宋体"/>
          <w:b/>
          <w:color w:val="1F4E79"/>
          <w:sz w:val="24"/>
          <w:szCs w:val="24"/>
        </w:rPr>
        <w:t>收</w:t>
      </w:r>
      <w:r>
        <w:rPr>
          <w:rFonts w:hint="eastAsia" w:ascii="宋体" w:hAnsi="宋体"/>
          <w:b/>
          <w:color w:val="1F4E79"/>
          <w:sz w:val="24"/>
          <w:szCs w:val="24"/>
        </w:rPr>
        <w:t>益</w:t>
      </w:r>
      <w:r>
        <w:rPr>
          <w:rFonts w:ascii="宋体" w:hAnsi="宋体"/>
          <w:b/>
          <w:color w:val="1F4E79"/>
          <w:sz w:val="24"/>
          <w:szCs w:val="24"/>
        </w:rPr>
        <w:t>：</w:t>
      </w:r>
    </w:p>
    <w:p w14:paraId="42BC5FCB">
      <w:pPr>
        <w:pStyle w:val="6"/>
        <w:shd w:val="clear" w:color="auto" w:fill="FFFFFF"/>
        <w:spacing w:before="0" w:beforeAutospacing="0" w:after="0" w:afterAutospacing="0" w:line="480" w:lineRule="exact"/>
        <w:jc w:val="both"/>
        <w:rPr>
          <w:rStyle w:val="10"/>
          <w:rFonts w:cs="Helvetica"/>
          <w:b w:val="0"/>
        </w:rPr>
      </w:pPr>
      <w:r>
        <w:rPr>
          <w:rStyle w:val="10"/>
          <w:rFonts w:hint="eastAsia" w:cs="Helvetica"/>
          <w:b w:val="0"/>
        </w:rPr>
        <w:t>1. 了</w:t>
      </w:r>
      <w:r>
        <w:rPr>
          <w:rStyle w:val="10"/>
          <w:rFonts w:cs="Helvetica"/>
          <w:b w:val="0"/>
        </w:rPr>
        <w:t>解</w:t>
      </w:r>
      <w:r>
        <w:rPr>
          <w:rStyle w:val="10"/>
          <w:rFonts w:hint="eastAsia" w:cs="Helvetica"/>
          <w:b w:val="0"/>
        </w:rPr>
        <w:t>供应链两种战略以</w:t>
      </w:r>
      <w:r>
        <w:rPr>
          <w:rStyle w:val="10"/>
          <w:rFonts w:cs="Helvetica"/>
          <w:b w:val="0"/>
        </w:rPr>
        <w:t>及</w:t>
      </w:r>
      <w:r>
        <w:rPr>
          <w:rStyle w:val="10"/>
          <w:rFonts w:hint="eastAsia" w:cs="Helvetica"/>
          <w:b w:val="0"/>
        </w:rPr>
        <w:t>五种模式</w:t>
      </w:r>
    </w:p>
    <w:p w14:paraId="11263AF5">
      <w:pPr>
        <w:pStyle w:val="6"/>
        <w:shd w:val="clear" w:color="auto" w:fill="FFFFFF"/>
        <w:spacing w:before="0" w:beforeAutospacing="0" w:after="0" w:afterAutospacing="0" w:line="480" w:lineRule="exact"/>
        <w:jc w:val="both"/>
        <w:rPr>
          <w:rStyle w:val="10"/>
          <w:rFonts w:cs="Helvetica"/>
          <w:b w:val="0"/>
        </w:rPr>
      </w:pPr>
      <w:r>
        <w:rPr>
          <w:rStyle w:val="10"/>
          <w:rFonts w:hint="eastAsia" w:cs="Helvetica"/>
          <w:b w:val="0"/>
        </w:rPr>
        <w:t>2. 掌握产销协调的七种运营体系设计</w:t>
      </w:r>
    </w:p>
    <w:p w14:paraId="4E1C5E20">
      <w:pPr>
        <w:pStyle w:val="6"/>
        <w:shd w:val="clear" w:color="auto" w:fill="FFFFFF"/>
        <w:spacing w:before="0" w:beforeAutospacing="0" w:after="0" w:afterAutospacing="0" w:line="480" w:lineRule="exact"/>
        <w:jc w:val="both"/>
        <w:rPr>
          <w:rStyle w:val="10"/>
          <w:rFonts w:cs="Helvetica"/>
          <w:b w:val="0"/>
        </w:rPr>
      </w:pPr>
      <w:r>
        <w:rPr>
          <w:rStyle w:val="10"/>
          <w:rFonts w:hint="eastAsia" w:cs="Helvetica"/>
          <w:b w:val="0"/>
        </w:rPr>
        <w:t>3. 熟练操</w:t>
      </w:r>
      <w:r>
        <w:rPr>
          <w:rStyle w:val="10"/>
          <w:rFonts w:cs="Helvetica"/>
          <w:b w:val="0"/>
        </w:rPr>
        <w:t>作</w:t>
      </w:r>
      <w:r>
        <w:rPr>
          <w:rStyle w:val="10"/>
          <w:rFonts w:hint="eastAsia" w:cs="Helvetica"/>
          <w:b w:val="0"/>
        </w:rPr>
        <w:t>动态安全库存的两种算法</w:t>
      </w:r>
    </w:p>
    <w:p w14:paraId="2EE68973">
      <w:pPr>
        <w:pStyle w:val="6"/>
        <w:shd w:val="clear" w:color="auto" w:fill="FFFFFF"/>
        <w:spacing w:before="0" w:beforeAutospacing="0" w:after="0" w:afterAutospacing="0" w:line="480" w:lineRule="exact"/>
        <w:jc w:val="both"/>
        <w:rPr>
          <w:rStyle w:val="10"/>
          <w:rFonts w:cs="Helvetica"/>
          <w:b w:val="0"/>
        </w:rPr>
      </w:pPr>
      <w:r>
        <w:rPr>
          <w:rStyle w:val="10"/>
          <w:rFonts w:hint="eastAsia" w:cs="Helvetica"/>
          <w:b w:val="0"/>
        </w:rPr>
        <w:t>4. 应</w:t>
      </w:r>
      <w:r>
        <w:rPr>
          <w:rStyle w:val="10"/>
          <w:rFonts w:cs="Helvetica"/>
          <w:b w:val="0"/>
        </w:rPr>
        <w:t>用</w:t>
      </w:r>
      <w:r>
        <w:rPr>
          <w:rStyle w:val="10"/>
          <w:rFonts w:hint="eastAsia" w:cs="Helvetica"/>
          <w:b w:val="0"/>
        </w:rPr>
        <w:t>供应链计划编制六大策略方</w:t>
      </w:r>
      <w:r>
        <w:rPr>
          <w:rStyle w:val="10"/>
          <w:rFonts w:cs="Helvetica"/>
          <w:b w:val="0"/>
        </w:rPr>
        <w:t>法</w:t>
      </w:r>
    </w:p>
    <w:p w14:paraId="2611824D">
      <w:pPr>
        <w:spacing w:line="480" w:lineRule="exact"/>
        <w:rPr>
          <w:rFonts w:ascii="宋体" w:hAnsi="宋体"/>
          <w:b/>
          <w:sz w:val="24"/>
          <w:szCs w:val="24"/>
        </w:rPr>
      </w:pPr>
    </w:p>
    <w:p w14:paraId="71ECBBF9">
      <w:pPr>
        <w:spacing w:line="480" w:lineRule="exact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  <w:szCs w:val="24"/>
        </w:rPr>
        <w:t>课程天</w:t>
      </w:r>
      <w:r>
        <w:rPr>
          <w:rFonts w:ascii="宋体" w:hAnsi="宋体"/>
          <w:b/>
          <w:color w:val="1F4E79"/>
          <w:sz w:val="24"/>
          <w:szCs w:val="24"/>
        </w:rPr>
        <w:t>数：</w:t>
      </w:r>
      <w:r>
        <w:rPr>
          <w:rFonts w:ascii="宋体" w:hAnsi="宋体"/>
          <w:bCs/>
          <w:sz w:val="24"/>
          <w:szCs w:val="24"/>
        </w:rPr>
        <w:t>2</w:t>
      </w:r>
      <w:r>
        <w:rPr>
          <w:rFonts w:hint="eastAsia" w:ascii="宋体" w:hAnsi="宋体"/>
          <w:bCs/>
          <w:sz w:val="24"/>
          <w:szCs w:val="24"/>
        </w:rPr>
        <w:t>天，6小时/天</w:t>
      </w:r>
    </w:p>
    <w:p w14:paraId="5B42F8EE">
      <w:pPr>
        <w:spacing w:line="480" w:lineRule="exact"/>
        <w:rPr>
          <w:rStyle w:val="10"/>
          <w:rFonts w:ascii="宋体" w:hAnsi="宋体"/>
          <w:bCs w:val="0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  <w:szCs w:val="24"/>
        </w:rPr>
        <w:t>课程</w:t>
      </w:r>
      <w:r>
        <w:rPr>
          <w:rFonts w:ascii="宋体" w:hAnsi="宋体"/>
          <w:b/>
          <w:color w:val="1F4E79"/>
          <w:sz w:val="24"/>
          <w:szCs w:val="24"/>
        </w:rPr>
        <w:t>对象：</w:t>
      </w:r>
      <w:r>
        <w:rPr>
          <w:rStyle w:val="10"/>
          <w:rFonts w:hint="eastAsia" w:ascii="宋体" w:hAnsi="宋体" w:cs="Helvetica"/>
          <w:b w:val="0"/>
          <w:kern w:val="0"/>
          <w:sz w:val="24"/>
          <w:szCs w:val="24"/>
        </w:rPr>
        <w:t>企业总</w:t>
      </w:r>
      <w:r>
        <w:rPr>
          <w:rStyle w:val="10"/>
          <w:rFonts w:ascii="宋体" w:hAnsi="宋体" w:cs="Helvetica"/>
          <w:b w:val="0"/>
          <w:kern w:val="0"/>
          <w:sz w:val="24"/>
          <w:szCs w:val="24"/>
        </w:rPr>
        <w:t>经理、供应链</w:t>
      </w:r>
      <w:r>
        <w:rPr>
          <w:rStyle w:val="10"/>
          <w:rFonts w:hint="eastAsia" w:ascii="宋体" w:hAnsi="宋体" w:cs="Helvetica"/>
          <w:b w:val="0"/>
          <w:kern w:val="0"/>
          <w:sz w:val="24"/>
          <w:szCs w:val="24"/>
        </w:rPr>
        <w:t>总监</w:t>
      </w:r>
      <w:r>
        <w:rPr>
          <w:rStyle w:val="10"/>
          <w:rFonts w:ascii="宋体" w:hAnsi="宋体" w:cs="Helvetica"/>
          <w:b w:val="0"/>
          <w:kern w:val="0"/>
          <w:sz w:val="24"/>
          <w:szCs w:val="24"/>
        </w:rPr>
        <w:t>、计划经理、</w:t>
      </w:r>
      <w:r>
        <w:rPr>
          <w:rStyle w:val="10"/>
          <w:rFonts w:hint="eastAsia" w:ascii="宋体" w:hAnsi="宋体" w:cs="Helvetica"/>
          <w:b w:val="0"/>
          <w:kern w:val="0"/>
          <w:sz w:val="24"/>
          <w:szCs w:val="24"/>
        </w:rPr>
        <w:t>采</w:t>
      </w:r>
      <w:r>
        <w:rPr>
          <w:rStyle w:val="10"/>
          <w:rFonts w:ascii="宋体" w:hAnsi="宋体" w:cs="Helvetica"/>
          <w:b w:val="0"/>
          <w:kern w:val="0"/>
          <w:sz w:val="24"/>
          <w:szCs w:val="24"/>
        </w:rPr>
        <w:t>购</w:t>
      </w:r>
      <w:r>
        <w:rPr>
          <w:rStyle w:val="10"/>
          <w:rFonts w:hint="eastAsia" w:ascii="宋体" w:hAnsi="宋体" w:cs="Helvetica"/>
          <w:b w:val="0"/>
          <w:kern w:val="0"/>
          <w:sz w:val="24"/>
          <w:szCs w:val="24"/>
        </w:rPr>
        <w:t>/生产/销售</w:t>
      </w:r>
      <w:r>
        <w:rPr>
          <w:rStyle w:val="10"/>
          <w:rFonts w:ascii="宋体" w:hAnsi="宋体" w:cs="Helvetica"/>
          <w:b w:val="0"/>
          <w:kern w:val="0"/>
          <w:sz w:val="24"/>
          <w:szCs w:val="24"/>
        </w:rPr>
        <w:t>部门负责人等</w:t>
      </w:r>
    </w:p>
    <w:p w14:paraId="228F5B45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  <w:szCs w:val="24"/>
        </w:rPr>
        <w:t>课程</w:t>
      </w:r>
      <w:r>
        <w:rPr>
          <w:rFonts w:ascii="宋体" w:hAnsi="宋体"/>
          <w:b/>
          <w:color w:val="1F4E79"/>
          <w:sz w:val="24"/>
          <w:szCs w:val="24"/>
        </w:rPr>
        <w:t>方式：</w:t>
      </w:r>
    </w:p>
    <w:p w14:paraId="2A2BCD1A">
      <w:pPr>
        <w:pStyle w:val="6"/>
        <w:shd w:val="clear" w:color="auto" w:fill="FFFFFF"/>
        <w:spacing w:before="0" w:beforeAutospacing="0" w:after="0" w:afterAutospacing="0" w:line="480" w:lineRule="exact"/>
        <w:jc w:val="both"/>
        <w:rPr>
          <w:rStyle w:val="10"/>
          <w:rFonts w:hint="eastAsia" w:cs="Helvetica"/>
          <w:b w:val="0"/>
        </w:rPr>
      </w:pPr>
      <w:r>
        <w:rPr>
          <w:rStyle w:val="10"/>
          <w:rFonts w:hint="eastAsia" w:cs="Helvetica"/>
          <w:b w:val="0"/>
        </w:rPr>
        <w:t>课前诊</w:t>
      </w:r>
      <w:r>
        <w:rPr>
          <w:rStyle w:val="10"/>
          <w:rFonts w:cs="Helvetica"/>
          <w:b w:val="0"/>
        </w:rPr>
        <w:t>断</w:t>
      </w:r>
      <w:r>
        <w:rPr>
          <w:rStyle w:val="10"/>
          <w:rFonts w:hint="eastAsia" w:cs="Helvetica"/>
          <w:b w:val="0"/>
        </w:rPr>
        <w:t>、数据</w:t>
      </w:r>
      <w:r>
        <w:rPr>
          <w:rStyle w:val="10"/>
          <w:rFonts w:cs="Helvetica"/>
          <w:b w:val="0"/>
        </w:rPr>
        <w:t>分析、明</w:t>
      </w:r>
      <w:r>
        <w:rPr>
          <w:rStyle w:val="10"/>
          <w:rFonts w:hint="eastAsia" w:cs="Helvetica"/>
          <w:b w:val="0"/>
        </w:rPr>
        <w:t>确</w:t>
      </w:r>
      <w:r>
        <w:rPr>
          <w:rStyle w:val="10"/>
          <w:rFonts w:cs="Helvetica"/>
          <w:b w:val="0"/>
        </w:rPr>
        <w:t>问题</w:t>
      </w:r>
    </w:p>
    <w:p w14:paraId="1271A285">
      <w:pPr>
        <w:pStyle w:val="6"/>
        <w:shd w:val="clear" w:color="auto" w:fill="FFFFFF"/>
        <w:spacing w:before="0" w:beforeAutospacing="0" w:after="0" w:afterAutospacing="0" w:line="480" w:lineRule="exact"/>
        <w:jc w:val="both"/>
        <w:rPr>
          <w:rStyle w:val="10"/>
          <w:rFonts w:cs="Helvetica"/>
          <w:b w:val="0"/>
        </w:rPr>
      </w:pPr>
      <w:r>
        <w:rPr>
          <w:rStyle w:val="10"/>
          <w:rFonts w:hint="eastAsia" w:cs="Helvetica"/>
          <w:b w:val="0"/>
        </w:rPr>
        <w:t>课</w:t>
      </w:r>
      <w:r>
        <w:rPr>
          <w:rStyle w:val="10"/>
          <w:rFonts w:cs="Helvetica"/>
          <w:b w:val="0"/>
        </w:rPr>
        <w:t>中</w:t>
      </w:r>
      <w:r>
        <w:rPr>
          <w:rStyle w:val="10"/>
          <w:rFonts w:hint="eastAsia" w:cs="Helvetica"/>
          <w:b w:val="0"/>
        </w:rPr>
        <w:t>演练、案例</w:t>
      </w:r>
      <w:r>
        <w:rPr>
          <w:rStyle w:val="10"/>
          <w:rFonts w:cs="Helvetica"/>
          <w:b w:val="0"/>
        </w:rPr>
        <w:t>解析、</w:t>
      </w:r>
      <w:r>
        <w:rPr>
          <w:rStyle w:val="10"/>
          <w:rFonts w:hint="eastAsia" w:cs="Helvetica"/>
          <w:b w:val="0"/>
        </w:rPr>
        <w:t>解决</w:t>
      </w:r>
      <w:r>
        <w:rPr>
          <w:rStyle w:val="10"/>
          <w:rFonts w:cs="Helvetica"/>
          <w:b w:val="0"/>
        </w:rPr>
        <w:t>问题</w:t>
      </w:r>
    </w:p>
    <w:p w14:paraId="53EEAC1F">
      <w:pPr>
        <w:pStyle w:val="6"/>
        <w:shd w:val="clear" w:color="auto" w:fill="FFFFFF"/>
        <w:spacing w:before="0" w:beforeAutospacing="0" w:after="0" w:afterAutospacing="0" w:line="480" w:lineRule="exact"/>
        <w:jc w:val="both"/>
        <w:rPr>
          <w:rStyle w:val="10"/>
        </w:rPr>
      </w:pPr>
      <w:r>
        <w:rPr>
          <w:rStyle w:val="10"/>
          <w:rFonts w:hint="eastAsia" w:cs="Helvetica"/>
          <w:b w:val="0"/>
        </w:rPr>
        <w:t>课</w:t>
      </w:r>
      <w:r>
        <w:rPr>
          <w:rStyle w:val="10"/>
          <w:rFonts w:cs="Helvetica"/>
          <w:b w:val="0"/>
        </w:rPr>
        <w:t>后落地、跟</w:t>
      </w:r>
      <w:r>
        <w:rPr>
          <w:rStyle w:val="10"/>
          <w:rFonts w:hint="eastAsia" w:cs="Helvetica"/>
          <w:b w:val="0"/>
        </w:rPr>
        <w:t>踪</w:t>
      </w:r>
      <w:r>
        <w:rPr>
          <w:rStyle w:val="10"/>
          <w:rFonts w:cs="Helvetica"/>
          <w:b w:val="0"/>
        </w:rPr>
        <w:t>辅导、检查</w:t>
      </w:r>
      <w:r>
        <w:rPr>
          <w:rStyle w:val="10"/>
          <w:rFonts w:hint="eastAsia" w:cs="Helvetica"/>
          <w:b w:val="0"/>
        </w:rPr>
        <w:t>纠</w:t>
      </w:r>
      <w:r>
        <w:rPr>
          <w:rStyle w:val="10"/>
          <w:rFonts w:cs="Helvetica"/>
          <w:b w:val="0"/>
        </w:rPr>
        <w:t>偏</w:t>
      </w:r>
    </w:p>
    <w:p w14:paraId="7342023B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  <w:szCs w:val="24"/>
        </w:rPr>
        <w:t>课程模型：</w:t>
      </w:r>
    </w:p>
    <w:p w14:paraId="6DB0E9C0">
      <w:pPr>
        <w:jc w:val="center"/>
        <w:rPr>
          <w:rFonts w:hint="eastAsia"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  <w:lang/>
        </w:rPr>
        <w:drawing>
          <wp:inline distT="0" distB="0" distL="114300" distR="114300">
            <wp:extent cx="5386070" cy="2409190"/>
            <wp:effectExtent l="0" t="0" r="5080" b="10160"/>
            <wp:docPr id="1" name="图片 5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607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2CB9A">
      <w:pPr>
        <w:spacing w:line="480" w:lineRule="exact"/>
        <w:rPr>
          <w:rFonts w:ascii="宋体" w:hAnsi="宋体"/>
          <w:b/>
          <w:sz w:val="24"/>
          <w:szCs w:val="24"/>
        </w:rPr>
      </w:pPr>
    </w:p>
    <w:p w14:paraId="4F79664B">
      <w:pPr>
        <w:spacing w:line="480" w:lineRule="exact"/>
        <w:jc w:val="center"/>
        <w:rPr>
          <w:rFonts w:hint="eastAsia" w:ascii="宋体" w:hAnsi="宋体"/>
          <w:b/>
          <w:color w:val="1F4E79"/>
          <w:sz w:val="24"/>
          <w:szCs w:val="24"/>
        </w:rPr>
      </w:pPr>
      <w:r>
        <w:rPr>
          <w:rFonts w:hint="eastAsia" w:ascii="宋体" w:hAnsi="宋体"/>
          <w:b/>
          <w:color w:val="1F4E79"/>
          <w:sz w:val="24"/>
          <w:szCs w:val="24"/>
        </w:rPr>
        <w:t>课程</w:t>
      </w:r>
      <w:r>
        <w:rPr>
          <w:rFonts w:ascii="宋体" w:hAnsi="宋体"/>
          <w:b/>
          <w:color w:val="1F4E79"/>
          <w:sz w:val="24"/>
          <w:szCs w:val="24"/>
        </w:rPr>
        <w:t>大纲</w:t>
      </w:r>
    </w:p>
    <w:p w14:paraId="0D73F71F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场景一：A企业产销会议上的冲突之困</w:t>
      </w:r>
    </w:p>
    <w:p w14:paraId="02524749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场景二：</w:t>
      </w:r>
      <w:r>
        <w:rPr>
          <w:rFonts w:ascii="宋体" w:hAnsi="宋体"/>
          <w:sz w:val="24"/>
          <w:szCs w:val="24"/>
        </w:rPr>
        <w:t>C</w:t>
      </w:r>
      <w:r>
        <w:rPr>
          <w:rFonts w:hint="eastAsia" w:ascii="宋体" w:hAnsi="宋体"/>
          <w:sz w:val="24"/>
          <w:szCs w:val="24"/>
        </w:rPr>
        <w:t>企业月度经营会议之痛</w:t>
      </w:r>
      <w:r>
        <w:rPr>
          <w:rFonts w:ascii="宋体" w:hAnsi="宋体"/>
          <w:sz w:val="24"/>
          <w:szCs w:val="24"/>
        </w:rPr>
        <w:t>—</w:t>
      </w:r>
      <w:r>
        <w:rPr>
          <w:rFonts w:hint="eastAsia" w:ascii="宋体" w:hAnsi="宋体"/>
          <w:sz w:val="24"/>
          <w:szCs w:val="24"/>
        </w:rPr>
        <w:t>供应链之囚徒困境</w:t>
      </w:r>
    </w:p>
    <w:p w14:paraId="7E100FF0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思考：</w:t>
      </w:r>
      <w:r>
        <w:rPr>
          <w:rFonts w:hint="eastAsia" w:ascii="宋体" w:hAnsi="宋体"/>
          <w:sz w:val="24"/>
          <w:szCs w:val="24"/>
        </w:rPr>
        <w:t>供应链困局如何突破（统一认知+</w:t>
      </w:r>
      <w:r>
        <w:rPr>
          <w:rFonts w:hint="eastAsia" w:ascii="宋体" w:hAnsi="宋体"/>
          <w:color w:val="FF0000"/>
          <w:sz w:val="24"/>
          <w:szCs w:val="24"/>
        </w:rPr>
        <w:t>一套方法</w:t>
      </w:r>
      <w:r>
        <w:rPr>
          <w:rFonts w:hint="eastAsia" w:ascii="宋体" w:hAnsi="宋体"/>
          <w:sz w:val="24"/>
          <w:szCs w:val="24"/>
        </w:rPr>
        <w:t>+组织协同）</w:t>
      </w:r>
    </w:p>
    <w:p w14:paraId="2A9EB59C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前提：</w:t>
      </w:r>
      <w:r>
        <w:rPr>
          <w:rFonts w:hint="eastAsia" w:ascii="宋体" w:hAnsi="宋体"/>
          <w:sz w:val="24"/>
          <w:szCs w:val="24"/>
        </w:rPr>
        <w:t>建立供应链的认知</w:t>
      </w:r>
    </w:p>
    <w:p w14:paraId="4F677311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>
        <w:rPr>
          <w:rFonts w:hint="eastAsia" w:ascii="宋体" w:hAnsi="宋体"/>
          <w:b/>
          <w:bCs/>
          <w:color w:val="1F4E79"/>
          <w:sz w:val="24"/>
          <w:szCs w:val="24"/>
        </w:rPr>
        <w:t>第一讲：S</w:t>
      </w:r>
      <w:r>
        <w:rPr>
          <w:rFonts w:ascii="宋体" w:hAnsi="宋体"/>
          <w:b/>
          <w:bCs/>
          <w:color w:val="1F4E79"/>
          <w:sz w:val="24"/>
          <w:szCs w:val="24"/>
        </w:rPr>
        <w:t>&amp;OP</w:t>
      </w:r>
      <w:r>
        <w:rPr>
          <w:rFonts w:hint="eastAsia" w:ascii="宋体" w:hAnsi="宋体"/>
          <w:b/>
          <w:bCs/>
          <w:color w:val="1F4E79"/>
          <w:sz w:val="24"/>
          <w:szCs w:val="24"/>
        </w:rPr>
        <w:t>与需求预测</w:t>
      </w:r>
    </w:p>
    <w:p w14:paraId="1D879486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一、数据准备与处理</w:t>
      </w:r>
    </w:p>
    <w:p w14:paraId="07464DEF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供应数据</w:t>
      </w:r>
    </w:p>
    <w:p w14:paraId="4F289EFE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需求数据</w:t>
      </w:r>
    </w:p>
    <w:p w14:paraId="6953EB5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历史数据</w:t>
      </w:r>
    </w:p>
    <w:p w14:paraId="4A00C6CD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 实时数据</w:t>
      </w:r>
    </w:p>
    <w:p w14:paraId="496176D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二、补步预测</w:t>
      </w:r>
    </w:p>
    <w:p w14:paraId="2D62173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物料/产品/客户多维分类</w:t>
      </w:r>
    </w:p>
    <w:p w14:paraId="23C3E57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定量时间序列与线性趋势预测法</w:t>
      </w:r>
    </w:p>
    <w:p w14:paraId="2A0FACB9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定性专家预测法（内部+外部）</w:t>
      </w:r>
    </w:p>
    <w:p w14:paraId="62372821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三、预测调整与正式预测</w:t>
      </w:r>
    </w:p>
    <w:p w14:paraId="0B227AF0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调整初步预测的维度-</w:t>
      </w:r>
      <w:r>
        <w:rPr>
          <w:rFonts w:ascii="宋体" w:hAnsi="宋体"/>
          <w:sz w:val="24"/>
          <w:szCs w:val="24"/>
        </w:rPr>
        <w:t>E</w:t>
      </w:r>
      <w:r>
        <w:rPr>
          <w:rFonts w:hint="eastAsia" w:ascii="宋体" w:hAnsi="宋体"/>
          <w:sz w:val="24"/>
          <w:szCs w:val="24"/>
        </w:rPr>
        <w:t>O</w:t>
      </w:r>
      <w:r>
        <w:rPr>
          <w:rFonts w:ascii="宋体" w:hAnsi="宋体"/>
          <w:sz w:val="24"/>
          <w:szCs w:val="24"/>
        </w:rPr>
        <w:t>Q/</w:t>
      </w:r>
      <w:r>
        <w:rPr>
          <w:rFonts w:hint="eastAsia" w:ascii="宋体" w:hAnsi="宋体"/>
          <w:sz w:val="24"/>
          <w:szCs w:val="24"/>
        </w:rPr>
        <w:t>最小生产量/最小物流量/行情/战略储备</w:t>
      </w:r>
    </w:p>
    <w:p w14:paraId="46CAB2A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新品上市计划</w:t>
      </w:r>
    </w:p>
    <w:p w14:paraId="23154002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初步预测修正</w:t>
      </w:r>
    </w:p>
    <w:p w14:paraId="5F4BCD3D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四、供应能力评估与计划</w:t>
      </w:r>
    </w:p>
    <w:p w14:paraId="3DEE889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供应商能力评估</w:t>
      </w:r>
    </w:p>
    <w:p w14:paraId="38A1A15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产能评估</w:t>
      </w:r>
    </w:p>
    <w:p w14:paraId="0FB819A6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仓容/资金需求评估</w:t>
      </w:r>
    </w:p>
    <w:p w14:paraId="493F3B3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 物流能力评估</w:t>
      </w:r>
    </w:p>
    <w:p w14:paraId="7C74563D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 淡旺季调节评估</w:t>
      </w:r>
    </w:p>
    <w:p w14:paraId="13D5F11B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五、S</w:t>
      </w:r>
      <w:r>
        <w:rPr>
          <w:rFonts w:ascii="宋体" w:hAnsi="宋体"/>
          <w:b/>
          <w:bCs/>
          <w:color w:val="C45911"/>
          <w:sz w:val="24"/>
          <w:szCs w:val="24"/>
        </w:rPr>
        <w:t>&amp;OP</w:t>
      </w:r>
      <w:r>
        <w:rPr>
          <w:rFonts w:hint="eastAsia" w:ascii="宋体" w:hAnsi="宋体"/>
          <w:b/>
          <w:bCs/>
          <w:color w:val="C45911"/>
          <w:sz w:val="24"/>
          <w:szCs w:val="24"/>
        </w:rPr>
        <w:t>预备会议</w:t>
      </w:r>
    </w:p>
    <w:p w14:paraId="29AF808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会议组织</w:t>
      </w:r>
    </w:p>
    <w:p w14:paraId="34893C7E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会议输入与输出</w:t>
      </w:r>
    </w:p>
    <w:p w14:paraId="162F70B9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争议处理</w:t>
      </w:r>
    </w:p>
    <w:p w14:paraId="796EC515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六、预备会议结果沟通</w:t>
      </w:r>
    </w:p>
    <w:p w14:paraId="3F032FD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供</w:t>
      </w:r>
      <w:r>
        <w:rPr>
          <w:rFonts w:ascii="宋体" w:hAnsi="宋体"/>
          <w:sz w:val="24"/>
          <w:szCs w:val="24"/>
        </w:rPr>
        <w:t>&gt;</w:t>
      </w:r>
      <w:r>
        <w:rPr>
          <w:rFonts w:hint="eastAsia" w:ascii="宋体" w:hAnsi="宋体"/>
          <w:sz w:val="24"/>
          <w:szCs w:val="24"/>
        </w:rPr>
        <w:t>求应对策略</w:t>
      </w:r>
    </w:p>
    <w:p w14:paraId="2B129B9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供</w:t>
      </w:r>
      <w:r>
        <w:rPr>
          <w:rFonts w:ascii="宋体" w:hAnsi="宋体"/>
          <w:sz w:val="24"/>
          <w:szCs w:val="24"/>
        </w:rPr>
        <w:t>&lt;</w:t>
      </w:r>
      <w:r>
        <w:rPr>
          <w:rFonts w:hint="eastAsia" w:ascii="宋体" w:hAnsi="宋体"/>
          <w:sz w:val="24"/>
          <w:szCs w:val="24"/>
        </w:rPr>
        <w:t>求应对策略</w:t>
      </w:r>
    </w:p>
    <w:p w14:paraId="34B883DF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供=求应对策略</w:t>
      </w:r>
    </w:p>
    <w:p w14:paraId="7D368BF9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七、正式会议</w:t>
      </w:r>
    </w:p>
    <w:p w14:paraId="73A766E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参与对象</w:t>
      </w:r>
    </w:p>
    <w:p w14:paraId="0B65DAE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会议纪律</w:t>
      </w:r>
    </w:p>
    <w:p w14:paraId="56B51574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会议输入与输出</w:t>
      </w:r>
    </w:p>
    <w:p w14:paraId="10E02144">
      <w:pPr>
        <w:spacing w:line="480" w:lineRule="exact"/>
        <w:rPr>
          <w:rFonts w:hint="eastAsia"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八、S</w:t>
      </w:r>
      <w:r>
        <w:rPr>
          <w:rFonts w:ascii="宋体" w:hAnsi="宋体"/>
          <w:b/>
          <w:bCs/>
          <w:color w:val="C45911"/>
          <w:sz w:val="24"/>
          <w:szCs w:val="24"/>
        </w:rPr>
        <w:t>&amp;OP</w:t>
      </w:r>
      <w:r>
        <w:rPr>
          <w:rFonts w:hint="eastAsia" w:ascii="宋体" w:hAnsi="宋体"/>
          <w:b/>
          <w:bCs/>
          <w:color w:val="C45911"/>
          <w:sz w:val="24"/>
          <w:szCs w:val="24"/>
        </w:rPr>
        <w:t>输出</w:t>
      </w:r>
    </w:p>
    <w:p w14:paraId="7562511D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九、S</w:t>
      </w:r>
      <w:r>
        <w:rPr>
          <w:rFonts w:ascii="宋体" w:hAnsi="宋体"/>
          <w:b/>
          <w:bCs/>
          <w:color w:val="C45911"/>
          <w:sz w:val="24"/>
          <w:szCs w:val="24"/>
        </w:rPr>
        <w:t>&amp;</w:t>
      </w:r>
      <w:r>
        <w:rPr>
          <w:rFonts w:hint="eastAsia" w:ascii="宋体" w:hAnsi="宋体"/>
          <w:b/>
          <w:bCs/>
          <w:color w:val="C45911"/>
          <w:sz w:val="24"/>
          <w:szCs w:val="24"/>
        </w:rPr>
        <w:t>O</w:t>
      </w:r>
      <w:r>
        <w:rPr>
          <w:rFonts w:ascii="宋体" w:hAnsi="宋体"/>
          <w:b/>
          <w:bCs/>
          <w:color w:val="C45911"/>
          <w:sz w:val="24"/>
          <w:szCs w:val="24"/>
        </w:rPr>
        <w:t>P</w:t>
      </w:r>
      <w:r>
        <w:rPr>
          <w:rFonts w:hint="eastAsia" w:ascii="宋体" w:hAnsi="宋体"/>
          <w:b/>
          <w:bCs/>
          <w:color w:val="C45911"/>
          <w:sz w:val="24"/>
          <w:szCs w:val="24"/>
        </w:rPr>
        <w:t>执行与跟踪</w:t>
      </w:r>
    </w:p>
    <w:p w14:paraId="2CC3504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知会对象/方法/反馈</w:t>
      </w:r>
    </w:p>
    <w:p w14:paraId="6F17AE16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专门节点跟踪与反馈</w:t>
      </w:r>
    </w:p>
    <w:p w14:paraId="3561F1B1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动态纠编</w:t>
      </w:r>
    </w:p>
    <w:p w14:paraId="758A054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案例：</w:t>
      </w:r>
      <w:r>
        <w:rPr>
          <w:rFonts w:hint="eastAsia" w:ascii="宋体" w:hAnsi="宋体"/>
          <w:sz w:val="24"/>
          <w:szCs w:val="24"/>
        </w:rPr>
        <w:t>深圳某电子公司的S</w:t>
      </w:r>
      <w:r>
        <w:rPr>
          <w:rFonts w:ascii="宋体" w:hAnsi="宋体"/>
          <w:sz w:val="24"/>
          <w:szCs w:val="24"/>
        </w:rPr>
        <w:t>&amp;OP</w:t>
      </w:r>
      <w:r>
        <w:rPr>
          <w:rFonts w:hint="eastAsia" w:ascii="宋体" w:hAnsi="宋体"/>
          <w:sz w:val="24"/>
          <w:szCs w:val="24"/>
        </w:rPr>
        <w:t>项目实践</w:t>
      </w:r>
    </w:p>
    <w:p w14:paraId="7B68E00D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工具：</w:t>
      </w:r>
      <w:r>
        <w:rPr>
          <w:rFonts w:hint="eastAsia" w:ascii="宋体" w:hAnsi="宋体"/>
          <w:sz w:val="24"/>
          <w:szCs w:val="24"/>
        </w:rPr>
        <w:t>需求预测算法与模型</w:t>
      </w:r>
    </w:p>
    <w:p w14:paraId="2F540AF2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工具：</w:t>
      </w:r>
      <w:r>
        <w:rPr>
          <w:rFonts w:hint="eastAsia"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周历史数据的需求预测模板</w:t>
      </w:r>
    </w:p>
    <w:p w14:paraId="56D63B2B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</w:p>
    <w:p w14:paraId="75914006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>
        <w:rPr>
          <w:rFonts w:hint="eastAsia" w:ascii="宋体" w:hAnsi="宋体"/>
          <w:b/>
          <w:bCs/>
          <w:color w:val="1F4E79"/>
          <w:sz w:val="24"/>
          <w:szCs w:val="24"/>
        </w:rPr>
        <w:t>第二讲：安全库存设置</w:t>
      </w:r>
    </w:p>
    <w:p w14:paraId="1F0D520B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一、安全库存的概念与作用</w:t>
      </w:r>
    </w:p>
    <w:p w14:paraId="57F3EE60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二、安全库存的三种算法与两种模式</w:t>
      </w:r>
    </w:p>
    <w:p w14:paraId="01E31169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入门级算法</w:t>
      </w:r>
    </w:p>
    <w:p w14:paraId="277190EC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中级算法</w:t>
      </w:r>
    </w:p>
    <w:p w14:paraId="11459C32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高级算法</w:t>
      </w:r>
    </w:p>
    <w:p w14:paraId="7B72B67D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三、安全系数的选择（增维分析）</w:t>
      </w:r>
    </w:p>
    <w:p w14:paraId="4FD71A26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四、如何选择安全库存模型（消耗稳定性与消耗量分析）</w:t>
      </w:r>
    </w:p>
    <w:p w14:paraId="5062AE2E">
      <w:pPr>
        <w:spacing w:line="480" w:lineRule="exact"/>
        <w:rPr>
          <w:rFonts w:hint="eastAsia" w:ascii="宋体" w:hAnsi="宋体"/>
          <w:b/>
          <w:bCs/>
          <w:color w:val="C45911"/>
          <w:sz w:val="24"/>
          <w:szCs w:val="24"/>
        </w:rPr>
      </w:pPr>
      <w:r>
        <w:rPr>
          <w:rFonts w:hint="eastAsia" w:ascii="宋体" w:hAnsi="宋体"/>
          <w:b/>
          <w:bCs/>
          <w:color w:val="C45911"/>
          <w:sz w:val="24"/>
          <w:szCs w:val="24"/>
        </w:rPr>
        <w:t>五、如何控制安全库存水平</w:t>
      </w:r>
    </w:p>
    <w:p w14:paraId="57874F34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工具：</w:t>
      </w:r>
      <w:r>
        <w:rPr>
          <w:rFonts w:hint="eastAsia" w:ascii="宋体" w:hAnsi="宋体"/>
          <w:sz w:val="24"/>
          <w:szCs w:val="24"/>
        </w:rPr>
        <w:t>安全库存计算模板</w:t>
      </w:r>
    </w:p>
    <w:p w14:paraId="6B8042F5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</w:p>
    <w:p w14:paraId="5EEF8AB3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>
        <w:rPr>
          <w:rFonts w:hint="eastAsia" w:ascii="宋体" w:hAnsi="宋体"/>
          <w:b/>
          <w:bCs/>
          <w:color w:val="1F4E79"/>
          <w:sz w:val="24"/>
          <w:szCs w:val="24"/>
        </w:rPr>
        <w:t>第三讲：库存预警</w:t>
      </w:r>
    </w:p>
    <w:p w14:paraId="35302329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多梯次循环缺货预警系统设计</w:t>
      </w:r>
    </w:p>
    <w:p w14:paraId="328C8F28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多梯次循环缺货预警模型判断逻辑</w:t>
      </w:r>
    </w:p>
    <w:p w14:paraId="013D9480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多梯次循环缺货预警模型实例</w:t>
      </w:r>
    </w:p>
    <w:p w14:paraId="2A8833C8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工具：</w:t>
      </w:r>
      <w:r>
        <w:rPr>
          <w:rFonts w:hint="eastAsia" w:ascii="宋体" w:hAnsi="宋体"/>
          <w:sz w:val="24"/>
          <w:szCs w:val="24"/>
        </w:rPr>
        <w:t>库存预警判断模板</w:t>
      </w:r>
    </w:p>
    <w:p w14:paraId="1D6EDB7C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</w:p>
    <w:p w14:paraId="465205DF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>
        <w:rPr>
          <w:rFonts w:hint="eastAsia" w:ascii="宋体" w:hAnsi="宋体"/>
          <w:b/>
          <w:bCs/>
          <w:color w:val="1F4E79"/>
          <w:sz w:val="24"/>
          <w:szCs w:val="24"/>
        </w:rPr>
        <w:t>第四讲：补货策略</w:t>
      </w:r>
    </w:p>
    <w:p w14:paraId="184F1FB1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定量补货/采购/生产模型</w:t>
      </w:r>
    </w:p>
    <w:p w14:paraId="070290A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示例：</w:t>
      </w:r>
      <w:r>
        <w:rPr>
          <w:rFonts w:hint="eastAsia" w:ascii="宋体" w:hAnsi="宋体"/>
          <w:sz w:val="24"/>
          <w:szCs w:val="24"/>
        </w:rPr>
        <w:t>经济补货批量的计算</w:t>
      </w:r>
    </w:p>
    <w:p w14:paraId="5D82723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定期补货/采购/生产模型</w:t>
      </w:r>
    </w:p>
    <w:p w14:paraId="1CFD22A6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示例：</w:t>
      </w:r>
      <w:r>
        <w:rPr>
          <w:rFonts w:hint="eastAsia" w:ascii="宋体" w:hAnsi="宋体"/>
          <w:sz w:val="24"/>
          <w:szCs w:val="24"/>
        </w:rPr>
        <w:t>经济补货周期的计算</w:t>
      </w:r>
    </w:p>
    <w:p w14:paraId="1A2935A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定量补货与定期补货的区别</w:t>
      </w:r>
    </w:p>
    <w:p w14:paraId="5A293947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 定量补货与定期补货的物料匹配（A</w:t>
      </w:r>
      <w:r>
        <w:rPr>
          <w:rFonts w:ascii="宋体" w:hAnsi="宋体"/>
          <w:sz w:val="24"/>
          <w:szCs w:val="24"/>
        </w:rPr>
        <w:t>B</w:t>
      </w:r>
      <w:r>
        <w:rPr>
          <w:rFonts w:hint="eastAsia" w:ascii="宋体" w:hAnsi="宋体"/>
          <w:sz w:val="24"/>
          <w:szCs w:val="24"/>
        </w:rPr>
        <w:t>C法）</w:t>
      </w:r>
    </w:p>
    <w:p w14:paraId="2A079DFE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 供应商阶梯式报价下的策略选择</w:t>
      </w:r>
    </w:p>
    <w:p w14:paraId="269214FE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</w:p>
    <w:p w14:paraId="59821A3B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>
        <w:rPr>
          <w:rFonts w:hint="eastAsia" w:ascii="宋体" w:hAnsi="宋体"/>
          <w:b/>
          <w:bCs/>
          <w:color w:val="1F4E79"/>
          <w:sz w:val="24"/>
          <w:szCs w:val="24"/>
        </w:rPr>
        <w:t>第五讲：呆滞预防与处理</w:t>
      </w:r>
    </w:p>
    <w:p w14:paraId="35B1C97F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呆滞判断的“三看”</w:t>
      </w:r>
    </w:p>
    <w:p w14:paraId="1C57F9A5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呆滞判定逻辑建模</w:t>
      </w:r>
    </w:p>
    <w:p w14:paraId="4FEE657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呆滞的四级分类</w:t>
      </w:r>
    </w:p>
    <w:p w14:paraId="79ED9339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 呆滞处理原则</w:t>
      </w:r>
    </w:p>
    <w:p w14:paraId="2F54EA69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 库存控制指标与考核</w:t>
      </w:r>
    </w:p>
    <w:p w14:paraId="1F05A07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工具：</w:t>
      </w:r>
      <w:r>
        <w:rPr>
          <w:rFonts w:hint="eastAsia" w:ascii="宋体" w:hAnsi="宋体"/>
          <w:sz w:val="24"/>
          <w:szCs w:val="24"/>
        </w:rPr>
        <w:t>呆滞物料判定模型</w:t>
      </w:r>
    </w:p>
    <w:p w14:paraId="0299FFF2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</w:p>
    <w:p w14:paraId="619FC56C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>
        <w:rPr>
          <w:rFonts w:hint="eastAsia" w:ascii="宋体" w:hAnsi="宋体"/>
          <w:b/>
          <w:bCs/>
          <w:color w:val="1F4E79"/>
          <w:sz w:val="24"/>
          <w:szCs w:val="24"/>
        </w:rPr>
        <w:t>第六讲：供应链组织协同</w:t>
      </w:r>
    </w:p>
    <w:p w14:paraId="6B06BA7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 向上如何协同</w:t>
      </w:r>
    </w:p>
    <w:p w14:paraId="23FA14A3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平级如何协同</w:t>
      </w:r>
    </w:p>
    <w:p w14:paraId="25B93349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向下如何协同</w:t>
      </w:r>
    </w:p>
    <w:p w14:paraId="08F2C4C3">
      <w:pPr>
        <w:pStyle w:val="6"/>
        <w:spacing w:before="0" w:beforeAutospacing="0" w:after="0" w:afterAutospacing="0" w:line="480" w:lineRule="exact"/>
        <w:rPr>
          <w:b/>
        </w:rPr>
      </w:pPr>
      <w:r>
        <w:rPr>
          <w:rFonts w:hint="eastAsia"/>
          <w:b/>
        </w:rPr>
        <w:t>总结：</w:t>
      </w:r>
    </w:p>
    <w:p w14:paraId="5B4F72B8">
      <w:pPr>
        <w:pStyle w:val="6"/>
        <w:spacing w:before="0" w:beforeAutospacing="0" w:after="0" w:afterAutospacing="0" w:line="480" w:lineRule="exact"/>
        <w:rPr>
          <w:lang/>
        </w:rPr>
      </w:pPr>
      <w:r>
        <w:rPr>
          <w:rFonts w:hint="eastAsia"/>
          <w:lang/>
        </w:rPr>
        <w:t>1. ORID 聚</w:t>
      </w:r>
      <w:r>
        <w:rPr>
          <w:lang/>
        </w:rPr>
        <w:t>焦式会话交流</w:t>
      </w:r>
    </w:p>
    <w:p w14:paraId="5F47DACF">
      <w:pPr>
        <w:pStyle w:val="6"/>
        <w:spacing w:before="0" w:beforeAutospacing="0" w:after="0" w:afterAutospacing="0" w:line="480" w:lineRule="exact"/>
        <w:rPr>
          <w:rFonts w:hint="eastAsia"/>
          <w:lang/>
        </w:rPr>
      </w:pPr>
      <w:r>
        <w:rPr>
          <w:rFonts w:hint="eastAsia"/>
          <w:lang/>
        </w:rPr>
        <w:t>2. 提问与问答</w:t>
      </w:r>
    </w:p>
    <w:p w14:paraId="0F1AC8C1">
      <w:pPr>
        <w:pStyle w:val="6"/>
        <w:spacing w:before="0" w:beforeAutospacing="0" w:after="0" w:afterAutospacing="0" w:line="480" w:lineRule="exact"/>
        <w:rPr>
          <w:rStyle w:val="10"/>
          <w:rFonts w:hint="eastAsia" w:cs="Helvetica"/>
          <w:b w:val="0"/>
          <w:color w:val="3E3E3E"/>
        </w:rPr>
      </w:pPr>
    </w:p>
    <w:sectPr>
      <w:pgSz w:w="11906" w:h="16838"/>
      <w:pgMar w:top="1134" w:right="1274" w:bottom="1001" w:left="1134" w:header="851" w:footer="59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Frutiger LT Std 45 Light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iYTdjOGJkNDMyZDYwMWVjOWM0ZmU5YjdlN2I4YTUifQ=="/>
  </w:docVars>
  <w:rsids>
    <w:rsidRoot w:val="00172A27"/>
    <w:rsid w:val="00001BD4"/>
    <w:rsid w:val="00001D25"/>
    <w:rsid w:val="0000523C"/>
    <w:rsid w:val="000347BD"/>
    <w:rsid w:val="00037247"/>
    <w:rsid w:val="0003758A"/>
    <w:rsid w:val="0005561B"/>
    <w:rsid w:val="00076791"/>
    <w:rsid w:val="00090A49"/>
    <w:rsid w:val="0009536A"/>
    <w:rsid w:val="000A6F9B"/>
    <w:rsid w:val="000B065A"/>
    <w:rsid w:val="000B7C94"/>
    <w:rsid w:val="000C1849"/>
    <w:rsid w:val="000C49CA"/>
    <w:rsid w:val="000D41E2"/>
    <w:rsid w:val="000E041D"/>
    <w:rsid w:val="000E4CAE"/>
    <w:rsid w:val="00100638"/>
    <w:rsid w:val="00111925"/>
    <w:rsid w:val="00114D9A"/>
    <w:rsid w:val="00115472"/>
    <w:rsid w:val="00121769"/>
    <w:rsid w:val="00121FC8"/>
    <w:rsid w:val="00133E7B"/>
    <w:rsid w:val="00140849"/>
    <w:rsid w:val="00145656"/>
    <w:rsid w:val="00153060"/>
    <w:rsid w:val="00153E0B"/>
    <w:rsid w:val="00163C36"/>
    <w:rsid w:val="00164B81"/>
    <w:rsid w:val="0016751D"/>
    <w:rsid w:val="00182115"/>
    <w:rsid w:val="00183A0F"/>
    <w:rsid w:val="00186A4F"/>
    <w:rsid w:val="0019381D"/>
    <w:rsid w:val="001C31AA"/>
    <w:rsid w:val="001D4DF8"/>
    <w:rsid w:val="001F43DF"/>
    <w:rsid w:val="001F577B"/>
    <w:rsid w:val="002024AA"/>
    <w:rsid w:val="00210D7A"/>
    <w:rsid w:val="002215B9"/>
    <w:rsid w:val="002235B8"/>
    <w:rsid w:val="0022488E"/>
    <w:rsid w:val="00235D4B"/>
    <w:rsid w:val="00241B8B"/>
    <w:rsid w:val="0028479A"/>
    <w:rsid w:val="002A1F44"/>
    <w:rsid w:val="002B44CE"/>
    <w:rsid w:val="002B74ED"/>
    <w:rsid w:val="002F5274"/>
    <w:rsid w:val="00311250"/>
    <w:rsid w:val="00321489"/>
    <w:rsid w:val="00322EA9"/>
    <w:rsid w:val="003313EE"/>
    <w:rsid w:val="00333DB4"/>
    <w:rsid w:val="0033506D"/>
    <w:rsid w:val="0033562E"/>
    <w:rsid w:val="0035082B"/>
    <w:rsid w:val="0037564B"/>
    <w:rsid w:val="003801BA"/>
    <w:rsid w:val="00390015"/>
    <w:rsid w:val="003A1EA0"/>
    <w:rsid w:val="003A36A2"/>
    <w:rsid w:val="003B0F31"/>
    <w:rsid w:val="003B1ED8"/>
    <w:rsid w:val="003B2B2E"/>
    <w:rsid w:val="003C232D"/>
    <w:rsid w:val="003C606C"/>
    <w:rsid w:val="003C7DD7"/>
    <w:rsid w:val="003D165B"/>
    <w:rsid w:val="003F4F4E"/>
    <w:rsid w:val="003F515A"/>
    <w:rsid w:val="003F68FA"/>
    <w:rsid w:val="004245BD"/>
    <w:rsid w:val="00435CC7"/>
    <w:rsid w:val="00452DD4"/>
    <w:rsid w:val="004C4214"/>
    <w:rsid w:val="004D47D3"/>
    <w:rsid w:val="004D5E9B"/>
    <w:rsid w:val="004D73BA"/>
    <w:rsid w:val="004E146A"/>
    <w:rsid w:val="004E50D6"/>
    <w:rsid w:val="004F1886"/>
    <w:rsid w:val="004F5170"/>
    <w:rsid w:val="0050230E"/>
    <w:rsid w:val="005049A8"/>
    <w:rsid w:val="00523215"/>
    <w:rsid w:val="00526251"/>
    <w:rsid w:val="00544FE8"/>
    <w:rsid w:val="00547CC8"/>
    <w:rsid w:val="00556453"/>
    <w:rsid w:val="00566677"/>
    <w:rsid w:val="00566A63"/>
    <w:rsid w:val="00570516"/>
    <w:rsid w:val="00571C4F"/>
    <w:rsid w:val="00573384"/>
    <w:rsid w:val="00597D7F"/>
    <w:rsid w:val="005A6894"/>
    <w:rsid w:val="005A7162"/>
    <w:rsid w:val="005B31FB"/>
    <w:rsid w:val="005C4C94"/>
    <w:rsid w:val="005D0400"/>
    <w:rsid w:val="0060381C"/>
    <w:rsid w:val="00644A47"/>
    <w:rsid w:val="006569D3"/>
    <w:rsid w:val="006572DE"/>
    <w:rsid w:val="0066059C"/>
    <w:rsid w:val="00661498"/>
    <w:rsid w:val="00667503"/>
    <w:rsid w:val="00673466"/>
    <w:rsid w:val="006851A3"/>
    <w:rsid w:val="006A1EAF"/>
    <w:rsid w:val="006C219E"/>
    <w:rsid w:val="006C6C72"/>
    <w:rsid w:val="006D77FD"/>
    <w:rsid w:val="006F4629"/>
    <w:rsid w:val="00703869"/>
    <w:rsid w:val="00707994"/>
    <w:rsid w:val="00717572"/>
    <w:rsid w:val="00744FD9"/>
    <w:rsid w:val="00761A27"/>
    <w:rsid w:val="0076722E"/>
    <w:rsid w:val="00783C49"/>
    <w:rsid w:val="00792A64"/>
    <w:rsid w:val="007A1AFF"/>
    <w:rsid w:val="007A661A"/>
    <w:rsid w:val="007A7992"/>
    <w:rsid w:val="007B3ED4"/>
    <w:rsid w:val="007C2AB0"/>
    <w:rsid w:val="007C3E77"/>
    <w:rsid w:val="007D56D5"/>
    <w:rsid w:val="007E706B"/>
    <w:rsid w:val="007F25F0"/>
    <w:rsid w:val="007F661E"/>
    <w:rsid w:val="00823F24"/>
    <w:rsid w:val="00826287"/>
    <w:rsid w:val="00830495"/>
    <w:rsid w:val="008311AA"/>
    <w:rsid w:val="00831328"/>
    <w:rsid w:val="00840B83"/>
    <w:rsid w:val="00857835"/>
    <w:rsid w:val="008720C5"/>
    <w:rsid w:val="00875C71"/>
    <w:rsid w:val="00875E7F"/>
    <w:rsid w:val="0088051E"/>
    <w:rsid w:val="00882B15"/>
    <w:rsid w:val="00883D3F"/>
    <w:rsid w:val="00887B51"/>
    <w:rsid w:val="008C78CE"/>
    <w:rsid w:val="008D2F2E"/>
    <w:rsid w:val="008F16E6"/>
    <w:rsid w:val="008F5568"/>
    <w:rsid w:val="00916FF8"/>
    <w:rsid w:val="00920182"/>
    <w:rsid w:val="00921814"/>
    <w:rsid w:val="009227F8"/>
    <w:rsid w:val="00922990"/>
    <w:rsid w:val="00935FC9"/>
    <w:rsid w:val="00944061"/>
    <w:rsid w:val="00975967"/>
    <w:rsid w:val="009763F4"/>
    <w:rsid w:val="0099335F"/>
    <w:rsid w:val="009A3C96"/>
    <w:rsid w:val="009B1AA0"/>
    <w:rsid w:val="009B432C"/>
    <w:rsid w:val="009D537C"/>
    <w:rsid w:val="009E718D"/>
    <w:rsid w:val="009F12F3"/>
    <w:rsid w:val="009F7211"/>
    <w:rsid w:val="00A25CBC"/>
    <w:rsid w:val="00A338C5"/>
    <w:rsid w:val="00A400AA"/>
    <w:rsid w:val="00A42036"/>
    <w:rsid w:val="00A44D15"/>
    <w:rsid w:val="00A457B7"/>
    <w:rsid w:val="00A521B7"/>
    <w:rsid w:val="00A60827"/>
    <w:rsid w:val="00A71833"/>
    <w:rsid w:val="00A77705"/>
    <w:rsid w:val="00A843E8"/>
    <w:rsid w:val="00A95B2C"/>
    <w:rsid w:val="00AB17DA"/>
    <w:rsid w:val="00AE4882"/>
    <w:rsid w:val="00AF30AA"/>
    <w:rsid w:val="00B03000"/>
    <w:rsid w:val="00B11C8C"/>
    <w:rsid w:val="00B31F55"/>
    <w:rsid w:val="00B357DB"/>
    <w:rsid w:val="00B55AC9"/>
    <w:rsid w:val="00B604CB"/>
    <w:rsid w:val="00B75201"/>
    <w:rsid w:val="00B879AE"/>
    <w:rsid w:val="00BA340B"/>
    <w:rsid w:val="00BA3597"/>
    <w:rsid w:val="00BB0242"/>
    <w:rsid w:val="00BB0557"/>
    <w:rsid w:val="00BB101F"/>
    <w:rsid w:val="00BB1343"/>
    <w:rsid w:val="00BB2D65"/>
    <w:rsid w:val="00BC6E61"/>
    <w:rsid w:val="00BC7C45"/>
    <w:rsid w:val="00BE28F3"/>
    <w:rsid w:val="00BF37F2"/>
    <w:rsid w:val="00BF3991"/>
    <w:rsid w:val="00BF45B9"/>
    <w:rsid w:val="00BF4C64"/>
    <w:rsid w:val="00BF4FF3"/>
    <w:rsid w:val="00C04273"/>
    <w:rsid w:val="00C14C76"/>
    <w:rsid w:val="00C22D88"/>
    <w:rsid w:val="00C35DC3"/>
    <w:rsid w:val="00C44D87"/>
    <w:rsid w:val="00C45065"/>
    <w:rsid w:val="00C608D7"/>
    <w:rsid w:val="00C655B5"/>
    <w:rsid w:val="00C66986"/>
    <w:rsid w:val="00C75B0D"/>
    <w:rsid w:val="00C76B23"/>
    <w:rsid w:val="00C93F1A"/>
    <w:rsid w:val="00C97044"/>
    <w:rsid w:val="00CC6DE0"/>
    <w:rsid w:val="00CC6F3B"/>
    <w:rsid w:val="00CD775C"/>
    <w:rsid w:val="00CE3048"/>
    <w:rsid w:val="00CE7817"/>
    <w:rsid w:val="00CF038C"/>
    <w:rsid w:val="00D0504E"/>
    <w:rsid w:val="00D11203"/>
    <w:rsid w:val="00D27871"/>
    <w:rsid w:val="00D32C01"/>
    <w:rsid w:val="00D41467"/>
    <w:rsid w:val="00D44B6E"/>
    <w:rsid w:val="00D461AA"/>
    <w:rsid w:val="00D57B58"/>
    <w:rsid w:val="00D82872"/>
    <w:rsid w:val="00D8377B"/>
    <w:rsid w:val="00D86BE2"/>
    <w:rsid w:val="00DA3F2D"/>
    <w:rsid w:val="00DA4880"/>
    <w:rsid w:val="00DB1387"/>
    <w:rsid w:val="00DB5201"/>
    <w:rsid w:val="00DD0004"/>
    <w:rsid w:val="00DD04D8"/>
    <w:rsid w:val="00DD435F"/>
    <w:rsid w:val="00DE4713"/>
    <w:rsid w:val="00E04DC9"/>
    <w:rsid w:val="00E2571D"/>
    <w:rsid w:val="00E3602B"/>
    <w:rsid w:val="00E42329"/>
    <w:rsid w:val="00E4458F"/>
    <w:rsid w:val="00E47BCD"/>
    <w:rsid w:val="00E523E1"/>
    <w:rsid w:val="00E7074E"/>
    <w:rsid w:val="00E74E30"/>
    <w:rsid w:val="00E804D3"/>
    <w:rsid w:val="00E81941"/>
    <w:rsid w:val="00E8460B"/>
    <w:rsid w:val="00E87FFC"/>
    <w:rsid w:val="00E97F62"/>
    <w:rsid w:val="00EB1BD7"/>
    <w:rsid w:val="00EC209A"/>
    <w:rsid w:val="00F04611"/>
    <w:rsid w:val="00F1190E"/>
    <w:rsid w:val="00F232A1"/>
    <w:rsid w:val="00F40F91"/>
    <w:rsid w:val="00F554F8"/>
    <w:rsid w:val="00F64C76"/>
    <w:rsid w:val="00F66550"/>
    <w:rsid w:val="00F7597A"/>
    <w:rsid w:val="00F83793"/>
    <w:rsid w:val="00F904E3"/>
    <w:rsid w:val="00F920BA"/>
    <w:rsid w:val="00F97CAA"/>
    <w:rsid w:val="00FA122F"/>
    <w:rsid w:val="00FB0A7A"/>
    <w:rsid w:val="00FB6E24"/>
    <w:rsid w:val="00FB7FFA"/>
    <w:rsid w:val="00FC4EB4"/>
    <w:rsid w:val="00FD20DA"/>
    <w:rsid w:val="00FE2FC7"/>
    <w:rsid w:val="00FF49B9"/>
    <w:rsid w:val="017532BA"/>
    <w:rsid w:val="038402EA"/>
    <w:rsid w:val="08DE283E"/>
    <w:rsid w:val="1977248E"/>
    <w:rsid w:val="1DAD4FDE"/>
    <w:rsid w:val="477E71B2"/>
    <w:rsid w:val="63C440C0"/>
    <w:rsid w:val="6FC114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paragraph" w:styleId="2">
    <w:name w:val="heading 2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9">
    <w:name w:val="Default Paragraph Font"/>
    <w:uiPriority w:val="0"/>
  </w:style>
  <w:style w:type="table" w:default="1" w:styleId="8">
    <w:name w:val="Normal Table"/>
    <w:unhideWhenUsed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iPriority w:val="0"/>
    <w:pPr>
      <w:ind w:firstLine="723" w:firstLineChars="200"/>
    </w:pPr>
    <w:rPr>
      <w:rFonts w:ascii="Arial" w:hAnsi="Arial" w:cs="Arial"/>
      <w:b/>
      <w:color w:val="FFFFFF"/>
      <w:kern w:val="2"/>
      <w:sz w:val="36"/>
    </w:rPr>
  </w:style>
  <w:style w:type="paragraph" w:styleId="4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Title"/>
    <w:basedOn w:val="1"/>
    <w:next w:val="1"/>
    <w:link w:val="14"/>
    <w:qFormat/>
    <w:uiPriority w:val="0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character" w:styleId="10">
    <w:name w:val="Strong"/>
    <w:qFormat/>
    <w:uiPriority w:val="22"/>
    <w:rPr>
      <w:b/>
      <w:bCs/>
    </w:rPr>
  </w:style>
  <w:style w:type="character" w:styleId="11">
    <w:name w:val="page number"/>
    <w:uiPriority w:val="0"/>
  </w:style>
  <w:style w:type="character" w:customStyle="1" w:styleId="12">
    <w:name w:val="标题 2 字符"/>
    <w:link w:val="2"/>
    <w:uiPriority w:val="9"/>
    <w:rPr>
      <w:rFonts w:ascii="宋体" w:hAnsi="宋体" w:cs="宋体"/>
      <w:b/>
      <w:bCs/>
      <w:sz w:val="36"/>
      <w:szCs w:val="36"/>
    </w:rPr>
  </w:style>
  <w:style w:type="character" w:customStyle="1" w:styleId="13">
    <w:name w:val="页脚 字符"/>
    <w:link w:val="4"/>
    <w:uiPriority w:val="99"/>
    <w:rPr>
      <w:kern w:val="2"/>
      <w:sz w:val="18"/>
    </w:rPr>
  </w:style>
  <w:style w:type="character" w:customStyle="1" w:styleId="14">
    <w:name w:val="标题 字符"/>
    <w:link w:val="7"/>
    <w:uiPriority w:val="0"/>
    <w:rPr>
      <w:rFonts w:ascii="Calibri Light" w:hAnsi="Calibri Light" w:cs="Times New Roman"/>
      <w:b/>
      <w:bCs/>
      <w:kern w:val="2"/>
      <w:sz w:val="32"/>
      <w:szCs w:val="32"/>
    </w:rPr>
  </w:style>
  <w:style w:type="character" w:customStyle="1" w:styleId="15">
    <w:name w:val="trans"/>
    <w:uiPriority w:val="0"/>
  </w:style>
  <w:style w:type="paragraph" w:customStyle="1" w:styleId="16">
    <w:name w:val="Default"/>
    <w:uiPriority w:val="0"/>
    <w:pPr>
      <w:widowControl w:val="0"/>
      <w:autoSpaceDE w:val="0"/>
      <w:autoSpaceDN w:val="0"/>
    </w:pPr>
    <w:rPr>
      <w:rFonts w:hint="eastAsia" w:ascii="Frutiger LT Std 45 Light" w:hAnsi="Frutiger LT Std 45 Light" w:eastAsia="Frutiger LT Std 45 Light"/>
      <w:color w:val="000000"/>
      <w:sz w:val="24"/>
      <w:lang w:val="en-US" w:eastAsia="zh-CN" w:bidi="ar-SA"/>
    </w:rPr>
  </w:style>
  <w:style w:type="paragraph" w:customStyle="1" w:styleId="17">
    <w:name w:val="Pa4"/>
    <w:basedOn w:val="16"/>
    <w:next w:val="16"/>
    <w:uiPriority w:val="0"/>
    <w:pPr>
      <w:spacing w:line="241" w:lineRule="atLeast"/>
    </w:pPr>
    <w:rPr>
      <w:rFonts w:hint="default"/>
    </w:rPr>
  </w:style>
  <w:style w:type="paragraph" w:customStyle="1" w:styleId="18">
    <w:name w:val="彩色列表 - 强调文字颜色 1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1173</Words>
  <Characters>1260</Characters>
  <Lines>10</Lines>
  <Paragraphs>2</Paragraphs>
  <TotalTime>0</TotalTime>
  <ScaleCrop>false</ScaleCrop>
  <LinksUpToDate>false</LinksUpToDate>
  <CharactersWithSpaces>1320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2016-06-01T02:51:00Z</dcterms:created>
  <dc:creator>hp</dc:creator>
  <cp:lastModifiedBy>ylwnv6ii</cp:lastModifiedBy>
  <dcterms:modified xsi:type="dcterms:W3CDTF">2026-03-10T10:03:17Z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190597D2BC484046826651FC1F9AB597_13</vt:lpwstr>
  </property>
</Properties>
</file>