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7FA29" w14:textId="77777777" w:rsidR="00243557" w:rsidRDefault="00DD5A42">
      <w:pPr>
        <w:spacing w:after="0" w:line="480" w:lineRule="exact"/>
        <w:jc w:val="center"/>
        <w:rPr>
          <w:rFonts w:ascii="宋体" w:eastAsia="宋体" w:hAnsi="宋体" w:cs="Times New Roman" w:hint="eastAsia"/>
          <w:b/>
          <w:color w:val="1F4E79"/>
          <w:sz w:val="32"/>
          <w:szCs w:val="32"/>
          <w14:ligatures w14:val="none"/>
        </w:rPr>
      </w:pPr>
      <w:r>
        <w:rPr>
          <w:rFonts w:ascii="宋体" w:eastAsia="宋体" w:hAnsi="宋体" w:cs="Times New Roman" w:hint="eastAsia"/>
          <w:b/>
          <w:color w:val="1F4E79"/>
          <w:sz w:val="32"/>
          <w:szCs w:val="32"/>
          <w14:ligatures w14:val="none"/>
        </w:rPr>
        <w:t>卓越供应链：供应市场开发与采购战略</w:t>
      </w:r>
    </w:p>
    <w:p w14:paraId="49C4E0EB" w14:textId="77777777" w:rsidR="00243557" w:rsidRDefault="00243557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</w:p>
    <w:p w14:paraId="20F57209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课程背景</w:t>
      </w:r>
    </w:p>
    <w:p w14:paraId="032494DF" w14:textId="77777777" w:rsidR="00243557" w:rsidRDefault="00DD5A42">
      <w:pPr>
        <w:spacing w:after="0" w:line="480" w:lineRule="exact"/>
        <w:ind w:firstLineChars="200" w:firstLine="480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 xml:space="preserve">全球化逆流（地缘政治冲突、贸易战等）驱动产业链、供应链加速重构; 供应市场开发已从“可选动作”升级为“企业生存刚需；采购战略与供应链韧性已成为企业核心竞争壁垒; </w:t>
      </w:r>
    </w:p>
    <w:p w14:paraId="2D6FDB12" w14:textId="77777777" w:rsidR="00243557" w:rsidRDefault="00DD5A42">
      <w:pPr>
        <w:spacing w:after="0" w:line="480" w:lineRule="exact"/>
        <w:ind w:firstLineChars="200" w:firstLine="480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同时，传统事务型、关系型采购模式已无法适配市场需求，正面临内忧外患：</w:t>
      </w:r>
    </w:p>
    <w:p w14:paraId="373413E3" w14:textId="77777777" w:rsidR="00243557" w:rsidRDefault="00DD5A42">
      <w:pPr>
        <w:spacing w:after="0" w:line="480" w:lineRule="exact"/>
        <w:ind w:firstLineChars="200" w:firstLine="480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市场洞察不足：错失优质资源或陷入被动议价；</w:t>
      </w:r>
    </w:p>
    <w:p w14:paraId="63EBCDD8" w14:textId="77777777" w:rsidR="00243557" w:rsidRDefault="00DD5A42">
      <w:pPr>
        <w:spacing w:after="0" w:line="480" w:lineRule="exact"/>
        <w:ind w:firstLineChars="200" w:firstLine="480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战略协同缺失：采购目标与企业整体战略脱节，无法支撑业务增长</w:t>
      </w:r>
    </w:p>
    <w:p w14:paraId="6844C443" w14:textId="77777777" w:rsidR="00243557" w:rsidRDefault="00DD5A42">
      <w:pPr>
        <w:spacing w:after="0" w:line="480" w:lineRule="exact"/>
        <w:ind w:firstLineChars="200" w:firstLine="480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风险抵御薄弱：过度依赖单一区域市场，面对突发中断时缺乏备选方案;</w:t>
      </w:r>
    </w:p>
    <w:p w14:paraId="312A34A7" w14:textId="77777777" w:rsidR="00243557" w:rsidRDefault="00DD5A42">
      <w:pPr>
        <w:spacing w:after="0" w:line="480" w:lineRule="exact"/>
        <w:ind w:firstLineChars="200" w:firstLine="480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成本导向单一：聚焦显性成本，忽视隐性成本（如质量成本/沟通成本等）</w:t>
      </w:r>
    </w:p>
    <w:p w14:paraId="3B32BD3D" w14:textId="77777777" w:rsidR="00243557" w:rsidRDefault="00DD5A42">
      <w:pPr>
        <w:spacing w:after="0" w:line="480" w:lineRule="exact"/>
        <w:ind w:firstLineChars="200" w:firstLine="480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供需协同不足：供应商协同撬动技术创新与效率提升</w:t>
      </w:r>
    </w:p>
    <w:p w14:paraId="2492AD72" w14:textId="77777777" w:rsidR="00243557" w:rsidRDefault="00DD5A42">
      <w:pPr>
        <w:spacing w:after="0" w:line="480" w:lineRule="exact"/>
        <w:ind w:firstLineChars="200" w:firstLine="480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本课程立足上述痛点，结合中外大厂及中小民企的跨行业实践，拆解供应市场开发的底层逻辑与采购战略的设计框架，助力企业管理者掌握从洞察到行动的全流程方法论，提升供应链及采购团队的专业能力，推动采购职能从成本中心向价值创造中心转型，构建敏捷、韧性的供应链体系，为企业可持续发展筑基。</w:t>
      </w:r>
    </w:p>
    <w:p w14:paraId="2A14B18D" w14:textId="77777777" w:rsidR="00243557" w:rsidRDefault="00243557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</w:p>
    <w:p w14:paraId="76EC3E78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课程收益</w:t>
      </w:r>
      <w:r>
        <w:rPr>
          <w:rFonts w:ascii="Times New Roman" w:eastAsia="宋体" w:hAnsi="Times New Roman" w:cs="Times New Roman" w:hint="eastAsia"/>
          <w:b/>
          <w:color w:val="1F4E79"/>
          <w:sz w:val="24"/>
          <w14:ligatures w14:val="none"/>
        </w:rPr>
        <w:t>：</w:t>
      </w:r>
    </w:p>
    <w:p w14:paraId="60257009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/>
          <w:bCs/>
          <w:sz w:val="24"/>
          <w14:ligatures w14:val="none"/>
        </w:rPr>
        <w:t>● 认知重塑：建立战略采购思维，从“交易型采购”升级为“价值型采购”，对齐公司供应链与业务战略;</w:t>
      </w:r>
    </w:p>
    <w:p w14:paraId="1747FF96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/>
          <w:bCs/>
          <w:sz w:val="24"/>
          <w14:ligatures w14:val="none"/>
        </w:rPr>
        <w:t>● 掌握市场洞察、品类分层与供应商全生命周期管理方法，构建韧性供应体系</w:t>
      </w:r>
    </w:p>
    <w:p w14:paraId="4024C9B3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/>
          <w:bCs/>
          <w:sz w:val="24"/>
          <w14:ligatures w14:val="none"/>
        </w:rPr>
        <w:t>● 掌握运用TCO、VA/VE、Kraljic矩阵等工具，实现降本增效与供应风险可控</w:t>
      </w:r>
    </w:p>
    <w:p w14:paraId="5E5AB84F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/>
          <w:bCs/>
          <w:sz w:val="24"/>
          <w14:ligatures w14:val="none"/>
        </w:rPr>
        <w:t>● 落地数字化采购、VMI/JIT等协同模式，提升采购团队专业能力与谈判效能</w:t>
      </w:r>
    </w:p>
    <w:p w14:paraId="595D9832" w14:textId="77777777" w:rsidR="00243557" w:rsidRDefault="00243557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</w:p>
    <w:p w14:paraId="76A4ACC6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课程时间：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2天，6小时/天</w:t>
      </w:r>
    </w:p>
    <w:p w14:paraId="26851660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课程对象：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采购/供应链计划/质量/财务/法务/研发等部门中高层及骨干员工</w:t>
      </w:r>
    </w:p>
    <w:p w14:paraId="5AB830D2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课程方式：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理论讲解+案例研讨+实战演练+角色扮演+工具模板输出（案例鲜活+深度拆解/强互动性+落地性）</w:t>
      </w:r>
    </w:p>
    <w:p w14:paraId="6735E139" w14:textId="30193038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课程工具：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IKEA</w:t>
      </w:r>
      <w:r>
        <w:rPr>
          <w:rFonts w:ascii="宋体" w:eastAsia="宋体" w:hAnsi="宋体" w:cs="Times New Roman"/>
          <w:bCs/>
          <w:sz w:val="24"/>
          <w14:ligatures w14:val="none"/>
        </w:rPr>
        <w:t>-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PDP/SDP 核心流程/Kraljic矩阵 /TCO模型/风险矩阵模板等</w:t>
      </w:r>
    </w:p>
    <w:p w14:paraId="7C76D922" w14:textId="77777777" w:rsidR="00DD5A42" w:rsidRDefault="00DD5A42" w:rsidP="00DD5A42">
      <w:pPr>
        <w:spacing w:after="0" w:line="480" w:lineRule="exact"/>
        <w:rPr>
          <w:rFonts w:ascii="宋体" w:eastAsia="宋体" w:hAnsi="宋体" w:cs="Times New Roman" w:hint="eastAsia"/>
          <w:bCs/>
          <w:sz w:val="24"/>
          <w14:ligatures w14:val="none"/>
        </w:rPr>
      </w:pPr>
    </w:p>
    <w:p w14:paraId="15E55FBB" w14:textId="2B08677C" w:rsidR="00243557" w:rsidRDefault="00DD5A42">
      <w:pPr>
        <w:spacing w:after="0" w:line="480" w:lineRule="exact"/>
        <w:jc w:val="center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课程大纲</w:t>
      </w:r>
    </w:p>
    <w:p w14:paraId="1B964D92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lastRenderedPageBreak/>
        <w:t>第一讲：价值跃迁——新环境下供应市场开发与采购战略</w:t>
      </w:r>
    </w:p>
    <w:p w14:paraId="702A9C33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一、认知升维：新环境下供应市场开发与采购的价值</w:t>
      </w:r>
    </w:p>
    <w:p w14:paraId="06413F64" w14:textId="102987CB" w:rsidR="0076454E" w:rsidRDefault="00DD5A42" w:rsidP="0076454E">
      <w:pPr>
        <w:spacing w:after="0" w:line="480" w:lineRule="exact"/>
        <w:rPr>
          <w:rFonts w:ascii="宋体" w:eastAsia="宋体" w:hAnsi="宋体" w:cs="Times New Roman"/>
          <w:bCs/>
          <w:sz w:val="24"/>
          <w14:ligatures w14:val="none"/>
        </w:rPr>
      </w:pPr>
      <w:r w:rsidRPr="00B24449">
        <w:rPr>
          <w:rFonts w:ascii="宋体" w:eastAsia="宋体" w:hAnsi="宋体" w:cs="Times New Roman" w:hint="eastAsia"/>
          <w:bCs/>
          <w:sz w:val="24"/>
          <w14:ligatures w14:val="none"/>
        </w:rPr>
        <w:t>1. 供应市场开发</w:t>
      </w:r>
      <w:r w:rsidRPr="0076454E">
        <w:rPr>
          <w:rFonts w:ascii="宋体" w:eastAsia="宋体" w:hAnsi="宋体" w:cs="Times New Roman" w:hint="eastAsia"/>
          <w:bCs/>
          <w:sz w:val="24"/>
          <w14:ligatures w14:val="none"/>
        </w:rPr>
        <w:t>三大核心目标</w:t>
      </w:r>
    </w:p>
    <w:p w14:paraId="691D303B" w14:textId="244B2D85" w:rsidR="00243557" w:rsidRDefault="0076454E" w:rsidP="0076454E">
      <w:pPr>
        <w:spacing w:after="0" w:line="480" w:lineRule="exact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——</w:t>
      </w:r>
      <w:r w:rsidR="00DD5A42">
        <w:rPr>
          <w:rFonts w:ascii="宋体" w:eastAsia="宋体" w:hAnsi="宋体" w:cs="Times New Roman" w:hint="eastAsia"/>
          <w:bCs/>
          <w:sz w:val="24"/>
          <w14:ligatures w14:val="none"/>
        </w:rPr>
        <w:t>保供（连续性）、优化（KPI）、赋能（NPD）</w:t>
      </w:r>
    </w:p>
    <w:p w14:paraId="1433AB92" w14:textId="77777777" w:rsidR="00243557" w:rsidRDefault="00DD5A42">
      <w:pPr>
        <w:spacing w:after="0" w:line="480" w:lineRule="exact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2. 采购演进脉络与角色变化</w:t>
      </w:r>
    </w:p>
    <w:p w14:paraId="1D49C247" w14:textId="77777777" w:rsidR="00243557" w:rsidRDefault="00DD5A42">
      <w:pPr>
        <w:spacing w:after="0" w:line="480" w:lineRule="exact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1）采购发展四阶段</w:t>
      </w:r>
    </w:p>
    <w:p w14:paraId="31AEE726" w14:textId="77777777" w:rsidR="00243557" w:rsidRDefault="00DD5A42">
      <w:pPr>
        <w:spacing w:after="0" w:line="480" w:lineRule="exact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工具：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各阶段比对表（类型/阶段/逻辑/理论）</w:t>
      </w:r>
    </w:p>
    <w:p w14:paraId="1DE66FFA" w14:textId="77777777" w:rsidR="00243557" w:rsidRDefault="00DD5A42">
      <w:pPr>
        <w:spacing w:after="0" w:line="480" w:lineRule="exact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395A88" wp14:editId="06530E98">
            <wp:simplePos x="0" y="0"/>
            <wp:positionH relativeFrom="column">
              <wp:posOffset>3891280</wp:posOffset>
            </wp:positionH>
            <wp:positionV relativeFrom="paragraph">
              <wp:posOffset>78105</wp:posOffset>
            </wp:positionV>
            <wp:extent cx="2215515" cy="790575"/>
            <wp:effectExtent l="0" t="0" r="0" b="9525"/>
            <wp:wrapThrough wrapText="bothSides">
              <wp:wrapPolygon edited="0">
                <wp:start x="0" y="0"/>
                <wp:lineTo x="0" y="21340"/>
                <wp:lineTo x="21359" y="21340"/>
                <wp:lineTo x="21359" y="0"/>
                <wp:lineTo x="0" y="0"/>
              </wp:wrapPolygon>
            </wp:wrapThrough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1551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2）与传统采购寻源的区别</w:t>
      </w:r>
    </w:p>
    <w:p w14:paraId="2C629520" w14:textId="77777777" w:rsidR="00243557" w:rsidRDefault="00DD5A42">
      <w:pPr>
        <w:spacing w:after="0" w:line="480" w:lineRule="exact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3）价值升维三大路径</w:t>
      </w:r>
    </w:p>
    <w:p w14:paraId="5CFFB527" w14:textId="77777777" w:rsidR="00243557" w:rsidRDefault="00DD5A42">
      <w:pPr>
        <w:spacing w:after="0" w:line="480" w:lineRule="exact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路径1：从“价格导向”到“价值导向”</w:t>
      </w:r>
    </w:p>
    <w:p w14:paraId="58D592C7" w14:textId="77777777" w:rsidR="00243557" w:rsidRDefault="00DD5A42">
      <w:pPr>
        <w:spacing w:after="0" w:line="480" w:lineRule="exact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策略：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功能/成本/风险平衡</w:t>
      </w:r>
    </w:p>
    <w:p w14:paraId="146CAE91" w14:textId="77777777" w:rsidR="00243557" w:rsidRDefault="00DD5A42">
      <w:pPr>
        <w:spacing w:after="0" w:line="480" w:lineRule="exact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noProof/>
        </w:rPr>
        <w:drawing>
          <wp:anchor distT="0" distB="0" distL="0" distR="0" simplePos="0" relativeHeight="251660288" behindDoc="1" locked="0" layoutInCell="1" allowOverlap="1" wp14:anchorId="3B638202" wp14:editId="737F67AE">
            <wp:simplePos x="0" y="0"/>
            <wp:positionH relativeFrom="column">
              <wp:posOffset>3581400</wp:posOffset>
            </wp:positionH>
            <wp:positionV relativeFrom="paragraph">
              <wp:posOffset>273685</wp:posOffset>
            </wp:positionV>
            <wp:extent cx="2981960" cy="838835"/>
            <wp:effectExtent l="0" t="0" r="8890" b="18415"/>
            <wp:wrapThrough wrapText="bothSides">
              <wp:wrapPolygon edited="0">
                <wp:start x="0" y="0"/>
                <wp:lineTo x="0" y="21338"/>
                <wp:lineTo x="21526" y="21338"/>
                <wp:lineTo x="21526" y="0"/>
                <wp:lineTo x="0" y="0"/>
              </wp:wrapPolygon>
            </wp:wrapThrough>
            <wp:docPr id="14802174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21748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81960" cy="838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路径2：从“单点突破”到“生态布局”</w:t>
      </w:r>
    </w:p>
    <w:p w14:paraId="2871B516" w14:textId="77777777" w:rsidR="00243557" w:rsidRDefault="00DD5A42">
      <w:pPr>
        <w:spacing w:after="0" w:line="480" w:lineRule="exact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策略：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供应商协同/市场趋势预判</w:t>
      </w:r>
    </w:p>
    <w:p w14:paraId="2D3CE09D" w14:textId="77777777" w:rsidR="00243557" w:rsidRDefault="00DD5A42">
      <w:pPr>
        <w:spacing w:after="0" w:line="480" w:lineRule="exact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路径3：从“被动寻源”到“主动布局”</w:t>
      </w:r>
    </w:p>
    <w:p w14:paraId="1381B5CA" w14:textId="77777777" w:rsidR="00243557" w:rsidRDefault="00DD5A42">
      <w:pPr>
        <w:spacing w:after="0" w:line="480" w:lineRule="exact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策略：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供应链竞争力的的战略升维</w:t>
      </w:r>
    </w:p>
    <w:p w14:paraId="7227B62F" w14:textId="77777777" w:rsidR="00243557" w:rsidRDefault="00DD5A42">
      <w:pPr>
        <w:spacing w:after="0" w:line="480" w:lineRule="exact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3. 战略协同：供应市场开发&amp;采购战略</w:t>
      </w:r>
    </w:p>
    <w:p w14:paraId="788524ED" w14:textId="77777777" w:rsidR="00243557" w:rsidRDefault="00DD5A42">
      <w:pPr>
        <w:spacing w:after="0" w:line="480" w:lineRule="exact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1）两项核心战略</w:t>
      </w:r>
    </w:p>
    <w:p w14:paraId="26E6A20B" w14:textId="77777777" w:rsidR="00243557" w:rsidRDefault="00DD5A42">
      <w:pPr>
        <w:spacing w:after="0" w:line="480" w:lineRule="exact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战略1：供应市场开发战略——向市场“拿资源”</w:t>
      </w:r>
    </w:p>
    <w:p w14:paraId="78E342E7" w14:textId="77777777" w:rsidR="00243557" w:rsidRDefault="00DD5A42">
      <w:pPr>
        <w:spacing w:after="0" w:line="480" w:lineRule="exact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战略2：采购开发战略——对企业“用资源”</w:t>
      </w:r>
    </w:p>
    <w:p w14:paraId="418A9FFD" w14:textId="77777777" w:rsidR="00243557" w:rsidRDefault="00DD5A42">
      <w:pPr>
        <w:spacing w:after="0" w:line="480" w:lineRule="exact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2）战略协同：两大战略服从于企业竞争战略（增长/成本领先/差异化）</w:t>
      </w:r>
    </w:p>
    <w:p w14:paraId="7E28815A" w14:textId="77777777" w:rsidR="00243557" w:rsidRDefault="00DD5A42">
      <w:pPr>
        <w:spacing w:after="0" w:line="480" w:lineRule="exact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3）对齐路径：自上而下拆解公司战略→供应链战略→采购战略</w:t>
      </w:r>
    </w:p>
    <w:p w14:paraId="72F74EBB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9B9800F" wp14:editId="5C72B768">
            <wp:simplePos x="0" y="0"/>
            <wp:positionH relativeFrom="column">
              <wp:posOffset>3892550</wp:posOffset>
            </wp:positionH>
            <wp:positionV relativeFrom="paragraph">
              <wp:posOffset>153670</wp:posOffset>
            </wp:positionV>
            <wp:extent cx="2670175" cy="727075"/>
            <wp:effectExtent l="0" t="0" r="0" b="0"/>
            <wp:wrapThrough wrapText="bothSides">
              <wp:wrapPolygon edited="0">
                <wp:start x="0" y="0"/>
                <wp:lineTo x="0" y="20940"/>
                <wp:lineTo x="21420" y="20940"/>
                <wp:lineTo x="21420" y="0"/>
                <wp:lineTo x="0" y="0"/>
              </wp:wrapPolygon>
            </wp:wrapThrough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70175" cy="72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二、协同作战：供应市场开发与组织协同</w:t>
      </w:r>
    </w:p>
    <w:p w14:paraId="149451A6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1. 协同的核心框架与机制</w:t>
      </w:r>
    </w:p>
    <w:p w14:paraId="190D0E92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1）协同的核心框架</w:t>
      </w:r>
    </w:p>
    <w:p w14:paraId="5FBC24D0" w14:textId="7674EC6D" w:rsidR="00243557" w:rsidRDefault="00DD5A42" w:rsidP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2）协同的关键机制：1+N战略对齐会、联合风险评估、数据共享平台</w:t>
      </w:r>
    </w:p>
    <w:p w14:paraId="4FDD35E0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2. 供应管理常见痛点与误区</w:t>
      </w:r>
    </w:p>
    <w:p w14:paraId="7468A4F1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1）四大核心痛点</w:t>
      </w:r>
    </w:p>
    <w:p w14:paraId="6D8CB832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——供应源高集中度、市场洞察能力薄弱、跨部门协同断层、跨部门协同断层</w:t>
      </w:r>
    </w:p>
    <w:p w14:paraId="4A833FBD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2）三大典型误区</w:t>
      </w:r>
    </w:p>
    <w:p w14:paraId="28310CF4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a认知误区：供应市场开发=找供应商</w:t>
      </w:r>
    </w:p>
    <w:p w14:paraId="7CCAB791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lastRenderedPageBreak/>
        <w:t>b决策误区：重成本轻弹性</w:t>
      </w:r>
    </w:p>
    <w:p w14:paraId="07F12818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c方法误区：依赖经验判断而非数据驱动</w:t>
      </w:r>
    </w:p>
    <w:p w14:paraId="499BE248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3. 破局方向与未来趋势</w:t>
      </w:r>
    </w:p>
    <w:p w14:paraId="7C44BB85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1）破局建议：建供应市场情报系统、推ABC品类管理/分类制定策略、引入ESG筛选标准</w:t>
      </w:r>
    </w:p>
    <w:p w14:paraId="73DAD593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2）视野拓展：数字模拟供应场景、可持续经济</w:t>
      </w:r>
      <w:r>
        <w:rPr>
          <w:rFonts w:ascii="宋体" w:eastAsia="宋体" w:hAnsi="宋体" w:cs="Times New Roman"/>
          <w:bCs/>
          <w:sz w:val="24"/>
          <w14:ligatures w14:val="none"/>
        </w:rPr>
        <w:t>ESG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、全球化与本地化平衡</w:t>
      </w:r>
    </w:p>
    <w:p w14:paraId="2D4056C6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案例演练：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某电子企业（主营智能手机）的采购现状与痛点分析</w:t>
      </w:r>
    </w:p>
    <w:p w14:paraId="184DB2D6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角色扮演：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企业即将推出新品（智能手表），需要协调采购、生产、销售部门制定供应市场开发计划，讨论并达成3点共识</w:t>
      </w:r>
    </w:p>
    <w:p w14:paraId="77D28B76" w14:textId="77777777" w:rsidR="00243557" w:rsidRDefault="00243557">
      <w:pPr>
        <w:spacing w:after="0" w:line="480" w:lineRule="exact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</w:p>
    <w:p w14:paraId="633D3842" w14:textId="77777777" w:rsidR="00243557" w:rsidRDefault="00DD5A42">
      <w:pPr>
        <w:spacing w:after="0" w:line="480" w:lineRule="exact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第二讲：深度挖掘——从市场洞察到供应机会</w:t>
      </w:r>
    </w:p>
    <w:p w14:paraId="3EA428B3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一、供应市场全景分析与洞察</w:t>
      </w:r>
    </w:p>
    <w:p w14:paraId="3ABA2402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  <w:t>1. 定义与价值：从“信息碎片”到“决策依据”</w:t>
      </w:r>
    </w:p>
    <w:p w14:paraId="1204376C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——三大核心价值</w:t>
      </w:r>
    </w:p>
    <w:p w14:paraId="46CEE3C7" w14:textId="77777777" w:rsidR="00243557" w:rsidRDefault="00DD5A42">
      <w:pPr>
        <w:tabs>
          <w:tab w:val="left" w:pos="312"/>
        </w:tabs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1）机会端：发现未被满足的需求</w:t>
      </w:r>
    </w:p>
    <w:p w14:paraId="0A053651" w14:textId="77777777" w:rsidR="00243557" w:rsidRDefault="00DD5A42">
      <w:pPr>
        <w:tabs>
          <w:tab w:val="left" w:pos="312"/>
        </w:tabs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2）风险端：预警潜在断点</w:t>
      </w:r>
    </w:p>
    <w:p w14:paraId="05017FEB" w14:textId="77777777" w:rsidR="00243557" w:rsidRDefault="00DD5A42">
      <w:pPr>
        <w:tabs>
          <w:tab w:val="left" w:pos="312"/>
        </w:tabs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3）效率端：使机会识别准确率提升50%</w:t>
      </w:r>
    </w:p>
    <w:p w14:paraId="25952095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2. 三维分析框架：穿透式洞察（表格呈现各维度逻辑)</w:t>
      </w:r>
    </w:p>
    <w:p w14:paraId="650FAF2C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1）宏观环境</w:t>
      </w:r>
    </w:p>
    <w:p w14:paraId="25C009EC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模型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：PESTEL</w:t>
      </w:r>
    </w:p>
    <w:p w14:paraId="53495B87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6个关注点：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政治、经济、社会、技术、环境、法律</w:t>
      </w:r>
    </w:p>
    <w:p w14:paraId="40493E1B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2）中观格局</w:t>
      </w:r>
    </w:p>
    <w:p w14:paraId="54E07982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模型：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PORTER 波特五力</w:t>
      </w:r>
    </w:p>
    <w:p w14:paraId="42A2590D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3个关注点：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行业竞争强度、供需关系、技术迭代速度</w:t>
      </w:r>
    </w:p>
    <w:p w14:paraId="693F25FB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3）微观能力</w:t>
      </w:r>
    </w:p>
    <w:p w14:paraId="36A0FB5B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模型：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SWOT</w:t>
      </w:r>
    </w:p>
    <w:p w14:paraId="58D79E7C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3个关注点：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供应商能力（技术/产能/质量）、合作意愿、风险画像</w:t>
      </w:r>
    </w:p>
    <w:p w14:paraId="62E7DF60" w14:textId="77777777" w:rsidR="00243557" w:rsidRPr="00B24449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B24449">
        <w:rPr>
          <w:rFonts w:ascii="宋体" w:eastAsia="宋体" w:hAnsi="宋体" w:cs="Times New Roman" w:hint="eastAsia"/>
          <w:bCs/>
          <w:sz w:val="24"/>
          <w14:ligatures w14:val="none"/>
        </w:rPr>
        <w:t>3. 深度洞察方法论：数据+专家+动态三角验证</w:t>
      </w:r>
    </w:p>
    <w:p w14:paraId="09CFBFF4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二、双轮驱动：需求与供应的动态匹配</w:t>
      </w:r>
    </w:p>
    <w:p w14:paraId="0203A83F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1. 四步闭环框架：精准适配的操作指南</w:t>
      </w:r>
    </w:p>
    <w:p w14:paraId="615A19A1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1）需求分层画像</w:t>
      </w:r>
    </w:p>
    <w:p w14:paraId="58961DCA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lastRenderedPageBreak/>
        <w:t>——战略需求（新品核心部件）、常规需求（标准件）、长尾需求（定制化配件）</w:t>
      </w:r>
    </w:p>
    <w:p w14:paraId="1201B93C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方法：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ABC分类法</w:t>
      </w:r>
    </w:p>
    <w:p w14:paraId="672BE705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工具：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ARIMA模型预测常规需求，德尔菲法预测战略需求</w:t>
      </w:r>
    </w:p>
    <w:p w14:paraId="1A4A9BD0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2）供应弹性设计</w:t>
      </w:r>
    </w:p>
    <w:p w14:paraId="42D9E189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3）协同调整平台</w:t>
      </w:r>
    </w:p>
    <w:p w14:paraId="3BAE28E0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工具：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SRM系统（实时同步需求变更与供应状态）</w:t>
      </w:r>
    </w:p>
    <w:p w14:paraId="2362E6A1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某跨境大卖用SRM将需求响应时间从72小时缩短至24小时</w:t>
      </w:r>
    </w:p>
    <w:p w14:paraId="24366C62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4）绩效闭环优化</w:t>
      </w:r>
    </w:p>
    <w:p w14:paraId="56E8A06D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KPI闭环：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需求预测准确率（≥80%）、供应响应及时率（≥95%）、匹配成本偏差率（≤5%）</w:t>
      </w:r>
      <w:r>
        <w:rPr>
          <w:rFonts w:ascii="宋体" w:eastAsia="宋体" w:hAnsi="宋体" w:cs="Times New Roman" w:hint="eastAsia"/>
          <w:b/>
          <w:sz w:val="24"/>
          <w14:ligatures w14:val="none"/>
        </w:rPr>
        <w:t>机制：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每月“匹配复盘会”分析偏差</w:t>
      </w:r>
    </w:p>
    <w:p w14:paraId="355F519C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2. 挑战与对策：高频痛点实战解决</w:t>
      </w:r>
    </w:p>
    <w:p w14:paraId="0DD99AA5" w14:textId="69167760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1）需求波动大</w:t>
      </w:r>
      <w:r w:rsidR="00B24449">
        <w:rPr>
          <w:rFonts w:ascii="宋体" w:eastAsia="宋体" w:hAnsi="宋体" w:cs="Times New Roman" w:hint="eastAsia"/>
          <w:b/>
          <w:sz w:val="24"/>
          <w14:ligatures w14:val="none"/>
        </w:rPr>
        <w:t>——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“安全库存+预售模式”平滑需求</w:t>
      </w:r>
    </w:p>
    <w:p w14:paraId="72529ED5" w14:textId="65F6D9A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2）供应延迟</w:t>
      </w:r>
      <w:r w:rsidR="00B24449">
        <w:rPr>
          <w:rFonts w:ascii="宋体" w:eastAsia="宋体" w:hAnsi="宋体" w:cs="Times New Roman" w:hint="eastAsia"/>
          <w:b/>
          <w:sz w:val="24"/>
          <w14:ligatures w14:val="none"/>
        </w:rPr>
        <w:t>——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“近岸外包”布局</w:t>
      </w:r>
    </w:p>
    <w:p w14:paraId="49368EBD" w14:textId="4C8F5DBB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3）信息不对称</w:t>
      </w:r>
      <w:r w:rsidR="00B24449">
        <w:rPr>
          <w:rFonts w:ascii="宋体" w:eastAsia="宋体" w:hAnsi="宋体" w:cs="Times New Roman" w:hint="eastAsia"/>
          <w:b/>
          <w:sz w:val="24"/>
          <w14:ligatures w14:val="none"/>
        </w:rPr>
        <w:t>——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“需求问责制”</w:t>
      </w:r>
    </w:p>
    <w:p w14:paraId="4D0EB83C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3. 视野拓展：AI驱动的“自主匹配”未来趋势</w:t>
      </w:r>
    </w:p>
    <w:p w14:paraId="55D5185A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应用实效：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某电商平台用AI匹配系统，2026年“客诉响应率”提升至99.5%</w:t>
      </w:r>
    </w:p>
    <w:p w14:paraId="6B141C52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三、机会转化：“全景分析+动态匹配=可落地机会”</w:t>
      </w:r>
    </w:p>
    <w:p w14:paraId="7D8F57A4" w14:textId="77777777" w:rsidR="00243557" w:rsidRPr="00CF3994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CF3994">
        <w:rPr>
          <w:rFonts w:ascii="宋体" w:eastAsia="宋体" w:hAnsi="宋体" w:cs="Times New Roman" w:hint="eastAsia"/>
          <w:bCs/>
          <w:sz w:val="24"/>
          <w14:ligatures w14:val="none"/>
        </w:rPr>
        <w:t>1. 机会识别的核心逻辑：“痛点-趋势-能力”三角模型</w:t>
      </w:r>
    </w:p>
    <w:p w14:paraId="621A06C9" w14:textId="77777777" w:rsidR="00243557" w:rsidRPr="003C29A6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3C29A6">
        <w:rPr>
          <w:rFonts w:ascii="宋体" w:eastAsia="宋体" w:hAnsi="宋体" w:cs="Times New Roman" w:hint="eastAsia"/>
          <w:bCs/>
          <w:sz w:val="24"/>
          <w14:ligatures w14:val="none"/>
        </w:rPr>
        <w:t>2. 从洞察到机会：五步转化落地流程</w:t>
      </w:r>
    </w:p>
    <w:p w14:paraId="51332633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3. 常见误区与避坑</w:t>
      </w:r>
    </w:p>
    <w:p w14:paraId="324D59DB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1）重趋势轻痛点：追逐热门技术却忽视企业实际需求</w:t>
      </w:r>
    </w:p>
    <w:p w14:paraId="5C7CEC8A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2）机会均等化：对所有机会投入相同资源，忽略优先级</w:t>
      </w:r>
    </w:p>
    <w:p w14:paraId="3F8B5D00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3）缺乏试点验证：直接大规模合作导致试错成本高</w:t>
      </w:r>
    </w:p>
    <w:p w14:paraId="607B8DEF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工具与方法：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机会分级矩阵；SWOT-机会适配表；MVP 快速迭代;</w:t>
      </w:r>
    </w:p>
    <w:p w14:paraId="7F00E7DB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沙盘演练：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家电企业智能空调项目</w:t>
      </w:r>
    </w:p>
    <w:p w14:paraId="60CBBB30" w14:textId="77777777" w:rsidR="00243557" w:rsidRDefault="00243557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</w:p>
    <w:p w14:paraId="02D8F962" w14:textId="77777777" w:rsidR="00243557" w:rsidRDefault="00DD5A42">
      <w:pPr>
        <w:spacing w:after="0" w:line="480" w:lineRule="exact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第三讲：供应商开发全生命周期管理(SLM)</w:t>
      </w:r>
    </w:p>
    <w:p w14:paraId="58E3C904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一、全生命周期详解</w:t>
      </w:r>
    </w:p>
    <w:p w14:paraId="5CE2EB8E" w14:textId="096F59A1" w:rsidR="00243557" w:rsidRDefault="00CF3994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1</w:t>
      </w:r>
      <w:r w:rsidR="00DD5A42">
        <w:rPr>
          <w:rFonts w:ascii="宋体" w:eastAsia="宋体" w:hAnsi="宋体" w:cs="Times New Roman" w:hint="eastAsia"/>
          <w:bCs/>
          <w:sz w:val="24"/>
          <w14:ligatures w14:val="none"/>
        </w:rPr>
        <w:t>. 三重目标：成本优化、风险可控、创新驱动</w:t>
      </w:r>
    </w:p>
    <w:p w14:paraId="08739389" w14:textId="755C4280" w:rsidR="00243557" w:rsidRDefault="00CF3994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2</w:t>
      </w:r>
      <w:r w:rsidR="00DD5A42">
        <w:rPr>
          <w:rFonts w:ascii="宋体" w:eastAsia="宋体" w:hAnsi="宋体" w:cs="Times New Roman" w:hint="eastAsia"/>
          <w:b/>
          <w:sz w:val="24"/>
          <w14:ligatures w14:val="none"/>
        </w:rPr>
        <w:t>. 战略价值</w:t>
      </w:r>
    </w:p>
    <w:p w14:paraId="54EFA64A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lastRenderedPageBreak/>
        <w:t>1）成本端：通过早期寻源筛选，降低后期整改/替换成本</w:t>
      </w:r>
    </w:p>
    <w:p w14:paraId="08CB5594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2）风险端：全周期监控合规交付稳定性，减少断供/召回风险</w:t>
      </w:r>
    </w:p>
    <w:p w14:paraId="7B9EC96E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3）创新端：与战略供应商联合研发，加速技术迭代</w:t>
      </w:r>
    </w:p>
    <w:p w14:paraId="15A289C8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4）协同端：通过分级分类实现资源精准投放</w:t>
      </w:r>
    </w:p>
    <w:p w14:paraId="178C8B36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二、SLM 闭环：从寻源到退出</w:t>
      </w:r>
    </w:p>
    <w:p w14:paraId="05C54A06" w14:textId="77777777" w:rsidR="00243557" w:rsidRPr="00CF3994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CF3994">
        <w:rPr>
          <w:rFonts w:ascii="宋体" w:eastAsia="宋体" w:hAnsi="宋体" w:cs="Times New Roman" w:hint="eastAsia"/>
          <w:bCs/>
          <w:sz w:val="24"/>
          <w14:ligatures w14:val="none"/>
        </w:rPr>
        <w:t>阶段1：寻源----精准定位“潜力供应商”</w:t>
      </w:r>
    </w:p>
    <w:p w14:paraId="3F949CEC" w14:textId="46FF9296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关键动作：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制定寻源策略</w:t>
      </w:r>
      <w:r w:rsidR="00CF3994">
        <w:rPr>
          <w:rFonts w:ascii="宋体" w:eastAsia="宋体" w:hAnsi="宋体" w:cs="Times New Roman" w:hint="eastAsia"/>
          <w:bCs/>
          <w:sz w:val="24"/>
          <w14:ligatures w14:val="none"/>
        </w:rPr>
        <w:t>、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拓展寻源渠道</w:t>
      </w:r>
      <w:r w:rsidR="00CF3994">
        <w:rPr>
          <w:rFonts w:ascii="宋体" w:eastAsia="宋体" w:hAnsi="宋体" w:cs="Times New Roman" w:hint="eastAsia"/>
          <w:bCs/>
          <w:sz w:val="24"/>
          <w14:ligatures w14:val="none"/>
        </w:rPr>
        <w:t>、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初步筛选标准</w:t>
      </w:r>
    </w:p>
    <w:p w14:paraId="2BAE0470" w14:textId="346B86D3" w:rsidR="00243557" w:rsidRPr="00DD5A42" w:rsidRDefault="00DD5A42" w:rsidP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DD5A42">
        <w:rPr>
          <w:rFonts w:ascii="宋体" w:eastAsia="宋体" w:hAnsi="宋体" w:cs="Times New Roman" w:hint="eastAsia"/>
          <w:b/>
          <w:sz w:val="24"/>
          <w14:ligatures w14:val="none"/>
        </w:rPr>
        <w:t>实操演练：</w:t>
      </w:r>
      <w:r w:rsidRPr="00DD5A42">
        <w:rPr>
          <w:rFonts w:ascii="宋体" w:eastAsia="宋体" w:hAnsi="宋体" w:cs="Times New Roman" w:hint="eastAsia"/>
          <w:bCs/>
          <w:sz w:val="24"/>
          <w14:ligatures w14:val="none"/>
        </w:rPr>
        <w:t>共创寻源SOP——策略制定/渠道锁定/标准选用/Gross list 输出</w:t>
      </w:r>
    </w:p>
    <w:p w14:paraId="4DECFC73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阶段2：准入----资质审核与培育计划</w:t>
      </w:r>
    </w:p>
    <w:p w14:paraId="179DB7B9" w14:textId="77777777" w:rsidR="00243557" w:rsidRPr="00CF3994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CF3994">
        <w:rPr>
          <w:rFonts w:ascii="宋体" w:eastAsia="宋体" w:hAnsi="宋体" w:cs="Times New Roman" w:hint="eastAsia"/>
          <w:bCs/>
          <w:sz w:val="24"/>
          <w14:ligatures w14:val="none"/>
        </w:rPr>
        <w:t>1）资质审核</w:t>
      </w:r>
    </w:p>
    <w:p w14:paraId="5CAF3F80" w14:textId="6FF248C3" w:rsidR="00243557" w:rsidRDefault="00DD5A42" w:rsidP="00CF3994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关键动作：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三级审核</w:t>
      </w:r>
      <w:r w:rsidR="00CF3994">
        <w:rPr>
          <w:rFonts w:ascii="宋体" w:eastAsia="宋体" w:hAnsi="宋体" w:cs="Times New Roman" w:hint="eastAsia"/>
          <w:bCs/>
          <w:sz w:val="24"/>
          <w14:ligatures w14:val="none"/>
        </w:rPr>
        <w:t>、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签订框架协议</w:t>
      </w:r>
    </w:p>
    <w:p w14:paraId="4A24009E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2）供应商准入与合作启动</w:t>
      </w:r>
    </w:p>
    <w:p w14:paraId="6238958C" w14:textId="77777777" w:rsidR="00243557" w:rsidRPr="00DD5A42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DD5A42">
        <w:rPr>
          <w:rFonts w:ascii="宋体" w:eastAsia="宋体" w:hAnsi="宋体" w:cs="Times New Roman" w:hint="eastAsia"/>
          <w:b/>
          <w:sz w:val="24"/>
          <w14:ligatures w14:val="none"/>
        </w:rPr>
        <w:t>实操演练：</w:t>
      </w:r>
      <w:r w:rsidRPr="00DD5A42">
        <w:rPr>
          <w:rFonts w:ascii="宋体" w:eastAsia="宋体" w:hAnsi="宋体" w:cs="Times New Roman" w:hint="eastAsia"/>
          <w:bCs/>
          <w:sz w:val="24"/>
          <w14:ligatures w14:val="none"/>
        </w:rPr>
        <w:t>某跨境大卖的供应商现场评估演练- 360度反馈（外部调研）</w:t>
      </w:r>
    </w:p>
    <w:p w14:paraId="2FCE0822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阶段3：评估考核——用数据“说话”</w:t>
      </w:r>
    </w:p>
    <w:p w14:paraId="3F04F1FA" w14:textId="302A62E1" w:rsidR="00243557" w:rsidRDefault="00DD5A42" w:rsidP="00CF3994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关键设计：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KPI体系：QCDS+ESG模型</w:t>
      </w:r>
      <w:r w:rsidR="00CF3994">
        <w:rPr>
          <w:rFonts w:ascii="宋体" w:eastAsia="宋体" w:hAnsi="宋体" w:cs="Times New Roman" w:hint="eastAsia"/>
          <w:bCs/>
          <w:sz w:val="24"/>
          <w14:ligatures w14:val="none"/>
        </w:rPr>
        <w:t>、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评估周期</w:t>
      </w:r>
    </w:p>
    <w:p w14:paraId="64662AB4" w14:textId="731E18B0" w:rsidR="00243557" w:rsidRPr="0076454E" w:rsidRDefault="00DD5A42" w:rsidP="0076454E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工具方法：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平衡计分卡（BSC）、360度反馈（采购+产研+质量多部门评分）、雷达图（可视化优劣势）</w:t>
      </w:r>
    </w:p>
    <w:p w14:paraId="3E811CB9" w14:textId="1DA41CEC" w:rsidR="00243557" w:rsidRPr="00DD5A42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DD5A42">
        <w:rPr>
          <w:rFonts w:ascii="宋体" w:eastAsia="宋体" w:hAnsi="宋体" w:cs="Times New Roman" w:hint="eastAsia"/>
          <w:b/>
          <w:sz w:val="24"/>
          <w14:ligatures w14:val="none"/>
        </w:rPr>
        <w:t>实操演练：</w:t>
      </w:r>
      <w:r w:rsidRPr="00DD5A42">
        <w:rPr>
          <w:rFonts w:ascii="宋体" w:eastAsia="宋体" w:hAnsi="宋体" w:cs="Times New Roman" w:hint="eastAsia"/>
          <w:bCs/>
          <w:sz w:val="24"/>
          <w14:ligatures w14:val="none"/>
        </w:rPr>
        <w:t>某跨境大卖的供应商现场评估演练-360度反馈（内部数据）+ 雷达图</w:t>
      </w:r>
    </w:p>
    <w:p w14:paraId="7A37BD2B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阶段4：分级分类——资源“精准投放”</w:t>
      </w:r>
    </w:p>
    <w:p w14:paraId="47612444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四象限分类与策略：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Excel 管理表——供应商分类、管理策略、资源投入</w:t>
      </w:r>
    </w:p>
    <w:p w14:paraId="74B9121A" w14:textId="77777777" w:rsidR="00243557" w:rsidRPr="00BB3B85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BB3B85">
        <w:rPr>
          <w:rFonts w:ascii="宋体" w:eastAsia="宋体" w:hAnsi="宋体" w:cs="Times New Roman" w:hint="eastAsia"/>
          <w:bCs/>
          <w:sz w:val="24"/>
          <w14:ligatures w14:val="none"/>
        </w:rPr>
        <w:t>阶段5：淘汰退出——“优雅分手”</w:t>
      </w:r>
    </w:p>
    <w:p w14:paraId="689C571C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三、供应商关系管理（SRM）</w:t>
      </w:r>
    </w:p>
    <w:p w14:paraId="50C6AA62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  <w:t>1. 关系图谱：战略伙伴、合作共赢、竞争博弈、单一来源的管理策略</w:t>
      </w:r>
    </w:p>
    <w:p w14:paraId="708349F0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1）协同模式：VMI（供应商管理库存）、JMI（联合库存管理）、JIT（准时制）</w:t>
      </w:r>
    </w:p>
    <w:p w14:paraId="77B8824E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2）激励与约束：正向激励（订单倾斜、联合研发）、负向约束（降级、淘汰）</w:t>
      </w:r>
    </w:p>
    <w:p w14:paraId="7C6BEFEE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  <w:t>2. 供应商分级筛选与资源池管理</w:t>
      </w:r>
    </w:p>
    <w:p w14:paraId="53E07891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1）优质供应商、备选供应商、淘汰供应商分类标准</w:t>
      </w:r>
    </w:p>
    <w:p w14:paraId="657E3D4C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2）供应资源池动态更新与维护逻辑</w:t>
      </w:r>
    </w:p>
    <w:p w14:paraId="370278A8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3）供应商基数优化</w:t>
      </w:r>
    </w:p>
    <w:p w14:paraId="74DB9C05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  <w:t>工具包：</w:t>
      </w: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供应市场调研表模板、供应商评估评分表模板、潜在供应商信息登记表模板、供应</w:t>
      </w: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lastRenderedPageBreak/>
        <w:t>市场风险分析清单</w:t>
      </w:r>
    </w:p>
    <w:p w14:paraId="27FD679A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  <w:t>实操案例：</w:t>
      </w: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标杆企业 SLM实践</w:t>
      </w:r>
    </w:p>
    <w:p w14:paraId="3F7C351E" w14:textId="77777777" w:rsidR="00243557" w:rsidRDefault="00243557">
      <w:pPr>
        <w:spacing w:after="0" w:line="480" w:lineRule="exact"/>
        <w:jc w:val="both"/>
        <w:rPr>
          <w:rFonts w:ascii="宋体" w:eastAsia="宋体" w:hAnsi="宋体" w:hint="eastAsia"/>
          <w:b/>
          <w:color w:val="000000"/>
          <w:sz w:val="24"/>
        </w:rPr>
      </w:pPr>
    </w:p>
    <w:p w14:paraId="1B0EA641" w14:textId="77777777" w:rsidR="00243557" w:rsidRDefault="00DD5A42">
      <w:pPr>
        <w:spacing w:after="0" w:line="480" w:lineRule="exact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第四讲：商域结界——VUCA时代的采购战略管理</w:t>
      </w:r>
    </w:p>
    <w:p w14:paraId="1C0CC3BD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一、认知升级：VUCA时代的采购战略价值重构</w:t>
      </w:r>
    </w:p>
    <w:p w14:paraId="30BDDF03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1. 核心定义：从“战术工具”到“战略引擎”的范式转移</w:t>
      </w:r>
    </w:p>
    <w:p w14:paraId="7F213626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传统采购战略 vs VUCA时代采购战略（比对表）</w:t>
      </w:r>
    </w:p>
    <w:p w14:paraId="38275B9F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  <w:t>2  VUCA时代的战略价值：企业韧性与竞争优势的“源头活水”</w:t>
      </w:r>
    </w:p>
    <w:p w14:paraId="58F2BA80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1）应对不确定性</w:t>
      </w:r>
    </w:p>
    <w:p w14:paraId="72E9B53C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2）驱动创新增长</w:t>
      </w:r>
    </w:p>
    <w:p w14:paraId="0ADABEDA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3）实现ESG目标</w:t>
      </w:r>
    </w:p>
    <w:p w14:paraId="04D87502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4）提升股东价值</w:t>
      </w:r>
    </w:p>
    <w:p w14:paraId="7F0D8FF6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  <w:t>3. 认知误区澄清</w:t>
      </w:r>
    </w:p>
    <w:p w14:paraId="4658C016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误区1：“采购战略=低价采购”</w:t>
      </w:r>
    </w:p>
    <w:p w14:paraId="55CDDF3D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误区2：“战略是高层的事”</w:t>
      </w:r>
    </w:p>
    <w:p w14:paraId="55F9F96E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  <w:t>正解：</w:t>
      </w: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“自上而下目标分解”&amp;“自下而上需求整合”的动态平衡</w:t>
      </w:r>
    </w:p>
    <w:p w14:paraId="71E2DBBB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二、六大采购战略类型详解：场景化选择与组合应用</w:t>
      </w:r>
    </w:p>
    <w:p w14:paraId="27148EEB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第一种：集中采购战略</w:t>
      </w:r>
    </w:p>
    <w:p w14:paraId="5ABB9C1F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  <w:t>适用场景：</w:t>
      </w: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通用性强、需求量大的物料</w:t>
      </w:r>
    </w:p>
    <w:p w14:paraId="6A61276D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  <w:t>优势：</w:t>
      </w: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议价能力提升（规模效应）、流程标准化、供应商管理集中化</w:t>
      </w:r>
    </w:p>
    <w:p w14:paraId="2C327C75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  <w:t>风险：</w:t>
      </w: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灵活性不足（难以响应局部特殊需求）、过度依赖单一供应商</w:t>
      </w:r>
    </w:p>
    <w:p w14:paraId="27DD51A6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  <w:t>标杆案例：</w:t>
      </w: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沃尔玛通过全球集采</w:t>
      </w:r>
    </w:p>
    <w:p w14:paraId="7092092B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第二种：分散采购战略</w:t>
      </w:r>
    </w:p>
    <w:p w14:paraId="2D76BBD8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  <w:t>适用场景：</w:t>
      </w: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需求个性化强/地域差异大的场景</w:t>
      </w:r>
    </w:p>
    <w:p w14:paraId="3F1125CF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  <w:t>优势：</w:t>
      </w: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响应速度快、适配局部市场特性</w:t>
      </w:r>
    </w:p>
    <w:p w14:paraId="0FE455F6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  <w:t>风险：</w:t>
      </w: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议价能力弱、重复采购导致资源浪费</w:t>
      </w:r>
    </w:p>
    <w:p w14:paraId="45C27716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  <w:t>标杆案例：</w:t>
      </w: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星巴克区域门店自主采购</w:t>
      </w:r>
    </w:p>
    <w:p w14:paraId="505F7416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第三种：全球采购战略</w:t>
      </w:r>
    </w:p>
    <w:p w14:paraId="78F55BD0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  <w:t>适用场景：</w:t>
      </w: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寻求技术领先、成本洼地或稀缺资源</w:t>
      </w:r>
    </w:p>
    <w:p w14:paraId="77D02302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  <w:t>优势：</w:t>
      </w: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技术/成本/资源获取范围扩大</w:t>
      </w:r>
    </w:p>
    <w:p w14:paraId="06DC0C06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  <w:lastRenderedPageBreak/>
        <w:t>风险：</w:t>
      </w: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地缘政治风险、物流成本高、文化冲突</w:t>
      </w:r>
    </w:p>
    <w:p w14:paraId="42C6053E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  <w:t>数据佐证：</w:t>
      </w: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全球采购可使企业平均成本降低8%-15%</w:t>
      </w:r>
    </w:p>
    <w:p w14:paraId="41C3E4CE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第四种：本土化采购战略</w:t>
      </w:r>
    </w:p>
    <w:p w14:paraId="132D7F0B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  <w:t>适用场景</w:t>
      </w: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：强调交付时效、规避贸易风险或响应政策</w:t>
      </w:r>
    </w:p>
    <w:p w14:paraId="536F720E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  <w:t>优势：</w:t>
      </w: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交付周期短（平均缩短50%）、物流成本低、便于质量协同</w:t>
      </w:r>
    </w:p>
    <w:p w14:paraId="7577719A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  <w:t>风险：</w:t>
      </w: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本地供应商技术/产能可能受限</w:t>
      </w:r>
    </w:p>
    <w:p w14:paraId="024E1E14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  <w:t>标杆案例：</w:t>
      </w: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特斯拉上海工厂本土化采购</w:t>
      </w:r>
    </w:p>
    <w:p w14:paraId="09E4A5EF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第五种：战略合作战略</w:t>
      </w:r>
    </w:p>
    <w:p w14:paraId="23BE6BF0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  <w:t>适用场景：</w:t>
      </w: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技术密集型/定制化程度高的核心物料</w:t>
      </w:r>
    </w:p>
    <w:p w14:paraId="5B3FA3CD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  <w:t>优势：</w:t>
      </w: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技术协同创新、供应稳定性高</w:t>
      </w:r>
    </w:p>
    <w:p w14:paraId="337BE752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  <w:t>风险：</w:t>
      </w: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转换成本高、可能形成“供应商锁定”</w:t>
      </w:r>
    </w:p>
    <w:p w14:paraId="33660FE7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  <w:t>理论支撑：</w:t>
      </w: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Kraljic 矩阵的“战略型供应商”管理（高价值+高风险）</w:t>
      </w:r>
    </w:p>
    <w:p w14:paraId="6D7CE5F6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第六种：数字化转型战略</w:t>
      </w:r>
    </w:p>
    <w:p w14:paraId="6B8EEE6C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  <w:t>适用场景</w:t>
      </w: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：全品类采购，尤其适合多SKU、高频次采购</w:t>
      </w:r>
    </w:p>
    <w:p w14:paraId="655DA057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  <w:t>优势</w:t>
      </w: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：需求预测精准化（AI算法误差率＜5%）、流程自动化、风险实时监控</w:t>
      </w:r>
    </w:p>
    <w:p w14:paraId="53DD143A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  <w:t>标杆案例：</w:t>
      </w: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亚马逊AI采购系统</w:t>
      </w:r>
    </w:p>
    <w:p w14:paraId="635DE11D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三、采购战略流程制定与运用：四步闭环法</w:t>
      </w:r>
    </w:p>
    <w:p w14:paraId="239212E4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第一步：环境扫描与需求锚定</w:t>
      </w:r>
    </w:p>
    <w:p w14:paraId="35EB8A3F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  <w:t>工具：</w:t>
      </w: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SWOT分析、波特五力模型</w:t>
      </w:r>
    </w:p>
    <w:p w14:paraId="28236F6D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  <w:t>第二步：战略类型匹配与优先级排序</w:t>
      </w:r>
    </w:p>
    <w:p w14:paraId="72766895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1）“价值-风险”矩阵（Kraljic 矩阵）</w:t>
      </w:r>
    </w:p>
    <w:p w14:paraId="439720FA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2）“战略重要性”排序</w:t>
      </w:r>
    </w:p>
    <w:p w14:paraId="17D8F29C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3）品类战略类型匹配</w:t>
      </w:r>
    </w:p>
    <w:p w14:paraId="78E011B3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第三步：实施路径规划与资源配置</w:t>
      </w:r>
    </w:p>
    <w:p w14:paraId="471407B9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第四步：监控迭代与绩效评估</w:t>
      </w:r>
    </w:p>
    <w:p w14:paraId="66791C3F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  <w:t>工具包：</w:t>
      </w: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Kraljic 矩阵模型/《供应商评估表》/《战略制定Checklist》</w:t>
      </w:r>
    </w:p>
    <w:p w14:paraId="4F3D8722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  <w:t>沙盘演练：</w:t>
      </w: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模拟企业采购战略决策</w:t>
      </w:r>
    </w:p>
    <w:p w14:paraId="067612EC" w14:textId="77777777" w:rsidR="00243557" w:rsidRDefault="00243557">
      <w:pPr>
        <w:spacing w:after="0" w:line="480" w:lineRule="exact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</w:p>
    <w:p w14:paraId="7AC0ACF7" w14:textId="77777777" w:rsidR="00243557" w:rsidRDefault="00DD5A42">
      <w:pPr>
        <w:spacing w:after="0" w:line="480" w:lineRule="exact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第五讲：破界新生——数字化趋势下的组织与个体进化</w:t>
      </w:r>
    </w:p>
    <w:p w14:paraId="4CB879A3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一、未来趋势：技术驱动的三大变革方向</w:t>
      </w:r>
    </w:p>
    <w:p w14:paraId="5C1F506F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lastRenderedPageBreak/>
        <w:t>1. AI深度渗透：从“辅助工具”到“决策主体”</w:t>
      </w:r>
    </w:p>
    <w:p w14:paraId="385D9395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2. 生态协同网络化：从“线性链条”到“价值网络”</w:t>
      </w:r>
    </w:p>
    <w:p w14:paraId="78F38C20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  <w:t>标杆案例：</w:t>
      </w: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西门子“数字化采购生态”</w:t>
      </w:r>
    </w:p>
    <w:p w14:paraId="32538F07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3. 可持续数字化：ESG与采购的深度绑定</w:t>
      </w:r>
    </w:p>
    <w:p w14:paraId="4AA2CC7E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二、机遇挑战：数字化的两面性</w:t>
      </w:r>
    </w:p>
    <w:p w14:paraId="628BEC84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/>
          <w:bCs/>
          <w:color w:val="000000" w:themeColor="text1"/>
          <w:sz w:val="24"/>
          <w14:ligatures w14:val="none"/>
        </w:rPr>
        <w:t xml:space="preserve">1. </w:t>
      </w: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趋势：数字化采购的四大核心价值</w:t>
      </w:r>
    </w:p>
    <w:p w14:paraId="2CFD6FA0" w14:textId="4004A35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  <w:t>2. 数字化局限性&amp;通用AI的应用边界</w:t>
      </w:r>
    </w:p>
    <w:p w14:paraId="11B027A4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1）数字化落地的五大陷阱</w:t>
      </w:r>
    </w:p>
    <w:p w14:paraId="2DED823D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2）通用AI在采购中的应用边界</w:t>
      </w:r>
    </w:p>
    <w:p w14:paraId="0BAA38D4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  <w:t>3. 数据垃圾治理框架</w:t>
      </w:r>
    </w:p>
    <w:p w14:paraId="1C52C840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1）识别标准</w:t>
      </w:r>
    </w:p>
    <w:p w14:paraId="2ED911AC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2）清理工具</w:t>
      </w:r>
    </w:p>
    <w:p w14:paraId="5887C5D4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3）预防机制</w:t>
      </w:r>
    </w:p>
    <w:p w14:paraId="6BBD47C1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4）安全兜底</w:t>
      </w:r>
    </w:p>
    <w:p w14:paraId="5776ACF9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三、低成本实施方案&amp;条件：中小企业的破局路径</w:t>
      </w:r>
    </w:p>
    <w:p w14:paraId="7ED6C204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1. 实施三原则：痛点优先、轻量投入、人机协同</w:t>
      </w:r>
    </w:p>
    <w:p w14:paraId="0FDE136F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  <w:t>2. 四步落地流程</w:t>
      </w:r>
    </w:p>
    <w:p w14:paraId="559C4617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/>
          <w:bCs/>
          <w:color w:val="000000" w:themeColor="text1"/>
          <w:sz w:val="24"/>
          <w14:ligatures w14:val="none"/>
        </w:rPr>
        <w:t>1</w:t>
      </w: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）诊断阶段（1-2周）：定位短板</w:t>
      </w:r>
    </w:p>
    <w:p w14:paraId="6739C61B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2）选型阶段（2-3周）：SaaS 工具选用</w:t>
      </w:r>
    </w:p>
    <w:p w14:paraId="2E71ED46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3）试点阶段（1-2个月）：品类试跑</w:t>
      </w:r>
    </w:p>
    <w:p w14:paraId="63A86CBF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4）推广阶段（3-6个月）：以点带面，同步培训</w:t>
      </w:r>
    </w:p>
    <w:p w14:paraId="4F60BED1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  <w:t>3. 成功条件</w:t>
      </w:r>
    </w:p>
    <w:p w14:paraId="4D853330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1）组织保障：成立“数字化采购小组”（采购+IT+财务负责人），明确权责</w:t>
      </w:r>
    </w:p>
    <w:p w14:paraId="0A099B6C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2）数据基础：至少整理3个月的采购历史数据（订单、供应商、成本）</w:t>
      </w:r>
    </w:p>
    <w:p w14:paraId="2D9C2FB0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3）高层支持：将数字化目标写入企业战略</w:t>
      </w:r>
    </w:p>
    <w:p w14:paraId="5BDE4848" w14:textId="77777777" w:rsidR="00243557" w:rsidRDefault="00243557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</w:p>
    <w:p w14:paraId="7987C7B9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课程总结与行动计划</w:t>
      </w:r>
    </w:p>
    <w:p w14:paraId="6905EEAE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  <w:t>核心回顾</w:t>
      </w:r>
    </w:p>
    <w:p w14:paraId="23A26766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1. 关于供应市场开发：全球视野+本地落地、重成本轻合规、区域化集群”</w:t>
      </w:r>
    </w:p>
    <w:p w14:paraId="286573E5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  <w:t>2. 关于采购战略</w:t>
      </w:r>
    </w:p>
    <w:p w14:paraId="571BE8BD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lastRenderedPageBreak/>
        <w:t>1）采购战略的本质是“动态系统性配置资源与关系，实现企业价值最大化</w:t>
      </w:r>
    </w:p>
    <w:p w14:paraId="64BC7E9D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2）六大战略类型需“场景化组合”，避免“一刀切”</w:t>
      </w:r>
    </w:p>
    <w:p w14:paraId="2E5232B7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3）制定流程的关键是“从环境到行动”的闭环，强调数据驱动与跨部门协同</w:t>
      </w:r>
    </w:p>
    <w:p w14:paraId="22705C9E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  <w:t>3. 关于数字化、AI 应用</w:t>
      </w:r>
    </w:p>
    <w:p w14:paraId="4B9DCD79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1）数字化采购的本质是“数据驱动的生态协同”需平衡技术投入与组织适配</w:t>
      </w:r>
    </w:p>
    <w:p w14:paraId="7FE07E02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2）机遇与警示：看趋势也看局限性，中小企业应走“痛点优先、轻量投入”路径</w:t>
      </w:r>
    </w:p>
    <w:p w14:paraId="624F17DF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3）三位一体（识别-清理-预防），治理数据垃圾</w:t>
      </w:r>
    </w:p>
    <w:p w14:paraId="0F53BDAD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  <w:t>互动答疑（Q&amp;A）：</w:t>
      </w: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预留15分钟解答学员问题</w:t>
      </w:r>
    </w:p>
    <w:p w14:paraId="1AA04C66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color w:val="000000" w:themeColor="text1"/>
          <w:sz w:val="24"/>
          <w14:ligatures w14:val="none"/>
        </w:rPr>
        <w:t>课后行动任务：</w:t>
      </w:r>
    </w:p>
    <w:p w14:paraId="129FA186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1）结合企业实际场景，运用PESTEL/SWOT- 机会适配/痛点-趋势-能力三角模型，诊断并识别1~2个优先级业务痛点并转化为机会价值</w:t>
      </w:r>
    </w:p>
    <w:p w14:paraId="11045B90" w14:textId="77777777" w:rsidR="00243557" w:rsidRDefault="00DD5A42">
      <w:pPr>
        <w:spacing w:after="0" w:line="480" w:lineRule="exact"/>
        <w:jc w:val="both"/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color w:val="000000" w:themeColor="text1"/>
          <w:sz w:val="24"/>
          <w14:ligatures w14:val="none"/>
        </w:rPr>
        <w:t>2）《本企业采购战略优化建议》（含1个品类战略调整方案）</w:t>
      </w:r>
    </w:p>
    <w:sectPr w:rsidR="00243557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099C4" w14:textId="77777777" w:rsidR="00243557" w:rsidRDefault="00DD5A42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05A25204" w14:textId="77777777" w:rsidR="00243557" w:rsidRDefault="00DD5A42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5B1E6" w14:textId="77777777" w:rsidR="00243557" w:rsidRDefault="00DD5A42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5FAEBCA7" w14:textId="77777777" w:rsidR="00243557" w:rsidRDefault="00DD5A42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defaultTabStop w:val="420"/>
  <w:drawingGridHorizontalSpacing w:val="110"/>
  <w:drawingGridVerticalSpacing w:val="156"/>
  <w:displayHorizontalDrawingGridEvery w:val="2"/>
  <w:displayVerticalDrawingGridEvery w:val="2"/>
  <w:noPunctuationKerning/>
  <w:characterSpacingControl w:val="compressPunctuation"/>
  <w:savePreviewPicture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35067"/>
    <w:rsid w:val="000A580C"/>
    <w:rsid w:val="000B53B0"/>
    <w:rsid w:val="000E1931"/>
    <w:rsid w:val="00125237"/>
    <w:rsid w:val="001513F8"/>
    <w:rsid w:val="00166B13"/>
    <w:rsid w:val="00172A27"/>
    <w:rsid w:val="00241A60"/>
    <w:rsid w:val="00243557"/>
    <w:rsid w:val="002439E8"/>
    <w:rsid w:val="002A37A4"/>
    <w:rsid w:val="00395912"/>
    <w:rsid w:val="003B66B6"/>
    <w:rsid w:val="003C29A6"/>
    <w:rsid w:val="004824DA"/>
    <w:rsid w:val="00680F0F"/>
    <w:rsid w:val="006D4883"/>
    <w:rsid w:val="007321AF"/>
    <w:rsid w:val="0073468C"/>
    <w:rsid w:val="0076454E"/>
    <w:rsid w:val="0083038B"/>
    <w:rsid w:val="009D44A3"/>
    <w:rsid w:val="00A11492"/>
    <w:rsid w:val="00AF2F74"/>
    <w:rsid w:val="00AF3A78"/>
    <w:rsid w:val="00B022C0"/>
    <w:rsid w:val="00B24449"/>
    <w:rsid w:val="00B71B67"/>
    <w:rsid w:val="00BB3B85"/>
    <w:rsid w:val="00BC1C22"/>
    <w:rsid w:val="00C73762"/>
    <w:rsid w:val="00CF3994"/>
    <w:rsid w:val="00D77870"/>
    <w:rsid w:val="00DA69C1"/>
    <w:rsid w:val="00DD5A42"/>
    <w:rsid w:val="00E17A89"/>
    <w:rsid w:val="00E42E29"/>
    <w:rsid w:val="00F042BD"/>
    <w:rsid w:val="00F173C5"/>
    <w:rsid w:val="00F73510"/>
    <w:rsid w:val="00F91698"/>
    <w:rsid w:val="013048A9"/>
    <w:rsid w:val="014B0EBC"/>
    <w:rsid w:val="01680C5E"/>
    <w:rsid w:val="01AA53C7"/>
    <w:rsid w:val="01D23781"/>
    <w:rsid w:val="028B5457"/>
    <w:rsid w:val="02BF1210"/>
    <w:rsid w:val="02E06A1A"/>
    <w:rsid w:val="036D4518"/>
    <w:rsid w:val="037B7F7B"/>
    <w:rsid w:val="037E1ED8"/>
    <w:rsid w:val="051E6885"/>
    <w:rsid w:val="053122B5"/>
    <w:rsid w:val="058A1B8B"/>
    <w:rsid w:val="06707FDE"/>
    <w:rsid w:val="077D2DD8"/>
    <w:rsid w:val="078E0AF3"/>
    <w:rsid w:val="07A20257"/>
    <w:rsid w:val="07F341CA"/>
    <w:rsid w:val="081C1E89"/>
    <w:rsid w:val="08533D34"/>
    <w:rsid w:val="08987BE8"/>
    <w:rsid w:val="08C90D03"/>
    <w:rsid w:val="09716E32"/>
    <w:rsid w:val="09761D90"/>
    <w:rsid w:val="09C53944"/>
    <w:rsid w:val="09E1372C"/>
    <w:rsid w:val="0A935500"/>
    <w:rsid w:val="0AFC028D"/>
    <w:rsid w:val="0B5C2DB3"/>
    <w:rsid w:val="0C156278"/>
    <w:rsid w:val="0C8F6628"/>
    <w:rsid w:val="0D28715E"/>
    <w:rsid w:val="0E14552A"/>
    <w:rsid w:val="0E562298"/>
    <w:rsid w:val="0E9D5009"/>
    <w:rsid w:val="0EAC1DBE"/>
    <w:rsid w:val="0EF54EE0"/>
    <w:rsid w:val="10C766C3"/>
    <w:rsid w:val="10F51D5F"/>
    <w:rsid w:val="11643698"/>
    <w:rsid w:val="11752A58"/>
    <w:rsid w:val="11C90E3E"/>
    <w:rsid w:val="12483364"/>
    <w:rsid w:val="129A18C4"/>
    <w:rsid w:val="12CC1965"/>
    <w:rsid w:val="14787422"/>
    <w:rsid w:val="157E5460"/>
    <w:rsid w:val="16E703CB"/>
    <w:rsid w:val="17A30C9C"/>
    <w:rsid w:val="17B44838"/>
    <w:rsid w:val="17E25150"/>
    <w:rsid w:val="18545193"/>
    <w:rsid w:val="19A76423"/>
    <w:rsid w:val="1A09570F"/>
    <w:rsid w:val="1A431F25"/>
    <w:rsid w:val="1A701454"/>
    <w:rsid w:val="1AF35C55"/>
    <w:rsid w:val="1B072DA5"/>
    <w:rsid w:val="1C4E2958"/>
    <w:rsid w:val="1C8A519E"/>
    <w:rsid w:val="1D1439C8"/>
    <w:rsid w:val="1D28138B"/>
    <w:rsid w:val="1E073016"/>
    <w:rsid w:val="1E746D84"/>
    <w:rsid w:val="1EDD6E46"/>
    <w:rsid w:val="1F740642"/>
    <w:rsid w:val="1FBE6A14"/>
    <w:rsid w:val="205C1D25"/>
    <w:rsid w:val="20695B39"/>
    <w:rsid w:val="220F6353"/>
    <w:rsid w:val="221943D6"/>
    <w:rsid w:val="22486A69"/>
    <w:rsid w:val="23E925CE"/>
    <w:rsid w:val="24015121"/>
    <w:rsid w:val="25370C3F"/>
    <w:rsid w:val="25701241"/>
    <w:rsid w:val="26BF3F9F"/>
    <w:rsid w:val="26E74AA2"/>
    <w:rsid w:val="27094A4B"/>
    <w:rsid w:val="277420AE"/>
    <w:rsid w:val="278D05C5"/>
    <w:rsid w:val="27CD209A"/>
    <w:rsid w:val="27EA0644"/>
    <w:rsid w:val="28866677"/>
    <w:rsid w:val="288C5814"/>
    <w:rsid w:val="28EE2F0B"/>
    <w:rsid w:val="29163C7F"/>
    <w:rsid w:val="298E3692"/>
    <w:rsid w:val="299903A4"/>
    <w:rsid w:val="2A082782"/>
    <w:rsid w:val="2A08345C"/>
    <w:rsid w:val="2A6B1031"/>
    <w:rsid w:val="2AB4661A"/>
    <w:rsid w:val="2AB770A3"/>
    <w:rsid w:val="2B195E43"/>
    <w:rsid w:val="2B5A1B96"/>
    <w:rsid w:val="2B62123C"/>
    <w:rsid w:val="2B9F3D2E"/>
    <w:rsid w:val="2C701E9B"/>
    <w:rsid w:val="2CD57FE7"/>
    <w:rsid w:val="2D0210E4"/>
    <w:rsid w:val="2D061DEB"/>
    <w:rsid w:val="2D5C6F01"/>
    <w:rsid w:val="2D683839"/>
    <w:rsid w:val="2DE27D71"/>
    <w:rsid w:val="2E3D0880"/>
    <w:rsid w:val="2E4B339A"/>
    <w:rsid w:val="2E993BB9"/>
    <w:rsid w:val="2FCA008C"/>
    <w:rsid w:val="2FDC432A"/>
    <w:rsid w:val="30742E3D"/>
    <w:rsid w:val="30E43896"/>
    <w:rsid w:val="30FE7DB5"/>
    <w:rsid w:val="31486DB5"/>
    <w:rsid w:val="327F62D5"/>
    <w:rsid w:val="33F561AB"/>
    <w:rsid w:val="341F5D90"/>
    <w:rsid w:val="34311A53"/>
    <w:rsid w:val="34504C29"/>
    <w:rsid w:val="35557569"/>
    <w:rsid w:val="364E3978"/>
    <w:rsid w:val="366B5096"/>
    <w:rsid w:val="36D93CDC"/>
    <w:rsid w:val="379F24CF"/>
    <w:rsid w:val="37E868CC"/>
    <w:rsid w:val="384E5167"/>
    <w:rsid w:val="38821F74"/>
    <w:rsid w:val="38C70290"/>
    <w:rsid w:val="38D47048"/>
    <w:rsid w:val="38E73345"/>
    <w:rsid w:val="394C69E7"/>
    <w:rsid w:val="3A7D20B1"/>
    <w:rsid w:val="3AC52EF5"/>
    <w:rsid w:val="3CE259F4"/>
    <w:rsid w:val="3D080C44"/>
    <w:rsid w:val="3D4155E6"/>
    <w:rsid w:val="3DF14FF1"/>
    <w:rsid w:val="3E006BD7"/>
    <w:rsid w:val="3E1E6276"/>
    <w:rsid w:val="3E8C358E"/>
    <w:rsid w:val="3EB562F9"/>
    <w:rsid w:val="3F7C1A35"/>
    <w:rsid w:val="3F9A7FCD"/>
    <w:rsid w:val="3FD249C2"/>
    <w:rsid w:val="40A315E2"/>
    <w:rsid w:val="413D3C14"/>
    <w:rsid w:val="41C837F8"/>
    <w:rsid w:val="420D418A"/>
    <w:rsid w:val="423F17DF"/>
    <w:rsid w:val="425A03C6"/>
    <w:rsid w:val="4269333A"/>
    <w:rsid w:val="426C7B8A"/>
    <w:rsid w:val="43594E0B"/>
    <w:rsid w:val="44B6565C"/>
    <w:rsid w:val="44E44D17"/>
    <w:rsid w:val="44F114C2"/>
    <w:rsid w:val="45A2514E"/>
    <w:rsid w:val="45AA1F5C"/>
    <w:rsid w:val="45E618E5"/>
    <w:rsid w:val="487D6BBD"/>
    <w:rsid w:val="48BB6668"/>
    <w:rsid w:val="48DD4DC0"/>
    <w:rsid w:val="49256F8E"/>
    <w:rsid w:val="4AA62142"/>
    <w:rsid w:val="4AF86335"/>
    <w:rsid w:val="4B3C5F5F"/>
    <w:rsid w:val="4B436725"/>
    <w:rsid w:val="4B5F29D9"/>
    <w:rsid w:val="4C0F1B08"/>
    <w:rsid w:val="4C1E60FD"/>
    <w:rsid w:val="4C334CC4"/>
    <w:rsid w:val="4C9C2BD6"/>
    <w:rsid w:val="4D9118CB"/>
    <w:rsid w:val="4DAB5F7A"/>
    <w:rsid w:val="4DC91F90"/>
    <w:rsid w:val="4DCA0138"/>
    <w:rsid w:val="4E091582"/>
    <w:rsid w:val="4E7B3BF3"/>
    <w:rsid w:val="4EEA2ED5"/>
    <w:rsid w:val="4F38383D"/>
    <w:rsid w:val="4FFB661A"/>
    <w:rsid w:val="501C4E7B"/>
    <w:rsid w:val="50B8067E"/>
    <w:rsid w:val="52350508"/>
    <w:rsid w:val="526B45C2"/>
    <w:rsid w:val="531A4B59"/>
    <w:rsid w:val="53925CA4"/>
    <w:rsid w:val="540C54E0"/>
    <w:rsid w:val="541A6CDE"/>
    <w:rsid w:val="54520EFE"/>
    <w:rsid w:val="54D758A7"/>
    <w:rsid w:val="55A37C6F"/>
    <w:rsid w:val="56812378"/>
    <w:rsid w:val="570C5B60"/>
    <w:rsid w:val="57DE0069"/>
    <w:rsid w:val="57E066E2"/>
    <w:rsid w:val="581F4B46"/>
    <w:rsid w:val="58782833"/>
    <w:rsid w:val="5945741C"/>
    <w:rsid w:val="5948290D"/>
    <w:rsid w:val="59D555CE"/>
    <w:rsid w:val="5A4A4031"/>
    <w:rsid w:val="5ADF31C8"/>
    <w:rsid w:val="5B3752F1"/>
    <w:rsid w:val="5B451065"/>
    <w:rsid w:val="5CC10BB9"/>
    <w:rsid w:val="5D562933"/>
    <w:rsid w:val="5D896BD2"/>
    <w:rsid w:val="5DD44C9F"/>
    <w:rsid w:val="5DFE6042"/>
    <w:rsid w:val="5E5D5321"/>
    <w:rsid w:val="5E6257EC"/>
    <w:rsid w:val="5ED1434E"/>
    <w:rsid w:val="5F275DD6"/>
    <w:rsid w:val="5FEA2B00"/>
    <w:rsid w:val="607D33CA"/>
    <w:rsid w:val="60847A10"/>
    <w:rsid w:val="60CC3634"/>
    <w:rsid w:val="60EE471C"/>
    <w:rsid w:val="60F62D4B"/>
    <w:rsid w:val="61502C69"/>
    <w:rsid w:val="618065AE"/>
    <w:rsid w:val="61932B55"/>
    <w:rsid w:val="62067307"/>
    <w:rsid w:val="627D50B1"/>
    <w:rsid w:val="62A22A16"/>
    <w:rsid w:val="62E01518"/>
    <w:rsid w:val="63392A57"/>
    <w:rsid w:val="6452385D"/>
    <w:rsid w:val="64713DD8"/>
    <w:rsid w:val="652413E6"/>
    <w:rsid w:val="65B535FF"/>
    <w:rsid w:val="65EB2F60"/>
    <w:rsid w:val="66050488"/>
    <w:rsid w:val="66530AC3"/>
    <w:rsid w:val="66B36AEA"/>
    <w:rsid w:val="66C764AB"/>
    <w:rsid w:val="67C021CA"/>
    <w:rsid w:val="6829320C"/>
    <w:rsid w:val="68885C41"/>
    <w:rsid w:val="689457A1"/>
    <w:rsid w:val="68E424F2"/>
    <w:rsid w:val="69306F20"/>
    <w:rsid w:val="69A50E62"/>
    <w:rsid w:val="69FC7EC7"/>
    <w:rsid w:val="6AE76AA4"/>
    <w:rsid w:val="6B6C14A6"/>
    <w:rsid w:val="6B837E9D"/>
    <w:rsid w:val="6BE648F5"/>
    <w:rsid w:val="6C3B104D"/>
    <w:rsid w:val="6C661DE8"/>
    <w:rsid w:val="6C762E7E"/>
    <w:rsid w:val="6CA17A05"/>
    <w:rsid w:val="6CCA2B90"/>
    <w:rsid w:val="6D5E2408"/>
    <w:rsid w:val="6D8D2B4F"/>
    <w:rsid w:val="6DB77BCC"/>
    <w:rsid w:val="6E183032"/>
    <w:rsid w:val="6E3D6323"/>
    <w:rsid w:val="6E7865D7"/>
    <w:rsid w:val="6E825D78"/>
    <w:rsid w:val="70390E66"/>
    <w:rsid w:val="70C71E93"/>
    <w:rsid w:val="70D651E1"/>
    <w:rsid w:val="70DA60AB"/>
    <w:rsid w:val="71BF02EA"/>
    <w:rsid w:val="72A40615"/>
    <w:rsid w:val="72D7174A"/>
    <w:rsid w:val="731D3C1A"/>
    <w:rsid w:val="73217DC5"/>
    <w:rsid w:val="73384217"/>
    <w:rsid w:val="73DC09ED"/>
    <w:rsid w:val="73FB728E"/>
    <w:rsid w:val="74A0760B"/>
    <w:rsid w:val="74AC6FC2"/>
    <w:rsid w:val="75B82C24"/>
    <w:rsid w:val="76D101FA"/>
    <w:rsid w:val="77532854"/>
    <w:rsid w:val="777E59AC"/>
    <w:rsid w:val="77A76A40"/>
    <w:rsid w:val="78D819BE"/>
    <w:rsid w:val="798A0E78"/>
    <w:rsid w:val="79B24069"/>
    <w:rsid w:val="79EF1D5E"/>
    <w:rsid w:val="7A7649A6"/>
    <w:rsid w:val="7AF64D8F"/>
    <w:rsid w:val="7B256ABC"/>
    <w:rsid w:val="7B5D22B7"/>
    <w:rsid w:val="7C0D1A2A"/>
    <w:rsid w:val="7C8D4919"/>
    <w:rsid w:val="7CA72965"/>
    <w:rsid w:val="7D2A5289"/>
    <w:rsid w:val="7D335CF6"/>
    <w:rsid w:val="7D417BA4"/>
    <w:rsid w:val="7D4746C7"/>
    <w:rsid w:val="7DB54FCA"/>
    <w:rsid w:val="7DC97B02"/>
    <w:rsid w:val="7E1976EC"/>
    <w:rsid w:val="7E6C4093"/>
    <w:rsid w:val="7F471666"/>
    <w:rsid w:val="7F9C15E8"/>
    <w:rsid w:val="7FBC791E"/>
    <w:rsid w:val="7FEE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A43A8D0"/>
  <w15:docId w15:val="{6B700C3D-C064-42CA-817E-CDDEC5097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b">
    <w:name w:val="Strong"/>
    <w:basedOn w:val="a0"/>
    <w:uiPriority w:val="22"/>
    <w:qFormat/>
    <w:rPr>
      <w:b/>
      <w:bCs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0"/>
    <w:link w:val="ac"/>
    <w:uiPriority w:val="29"/>
    <w:qFormat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0">
    <w:name w:val="明显引用 字符"/>
    <w:basedOn w:val="a0"/>
    <w:link w:val="af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character" w:customStyle="1" w:styleId="a4">
    <w:name w:val="页脚 字符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9</Pages>
  <Words>780</Words>
  <Characters>4450</Characters>
  <Application>Microsoft Office Word</Application>
  <DocSecurity>0</DocSecurity>
  <Lines>37</Lines>
  <Paragraphs>10</Paragraphs>
  <ScaleCrop>false</ScaleCrop>
  <Company/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 Wilson</dc:creator>
  <cp:lastModifiedBy>Administrator</cp:lastModifiedBy>
  <cp:revision>18</cp:revision>
  <dcterms:created xsi:type="dcterms:W3CDTF">2026-03-19T09:55:00Z</dcterms:created>
  <dcterms:modified xsi:type="dcterms:W3CDTF">2026-04-27T06:07:00Z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eyJoZGlkIjoiZTBlMTJjYjBkNDU3YmUzM2NiYzIxYmY4YjU3YTA0ZGIiLCJ1c2VySWQiOiIxNjYxMDg1MTg4In0=</vt:lpwstr>
  </property>
  <property fmtid="{D5CDD505-2E9C-101B-9397-08002B2CF9AE}" pid="3" name="KSOProductBuildVer">
    <vt:lpwstr>2052-12.1.0.24034</vt:lpwstr>
  </property>
  <property fmtid="{D5CDD505-2E9C-101B-9397-08002B2CF9AE}" pid="4" name="ICV">
    <vt:lpwstr>D896C125D1D249B5ACA6D4D15F5010CE_13</vt:lpwstr>
  </property>
</Properties>
</file>