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334F" w14:textId="77777777" w:rsidR="00996A39" w:rsidRDefault="00E74771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  <w:t>卓越供应链：采购合规与风险控制</w:t>
      </w:r>
    </w:p>
    <w:p w14:paraId="56EB11D9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13189BD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课程背景：</w:t>
      </w:r>
    </w:p>
    <w:p w14:paraId="321FFB39" w14:textId="77777777" w:rsidR="00996A39" w:rsidRDefault="00E74771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当前全球经济下行，企业面临地缘政治冲突、贸易壁垒升级、ESG监管趋严、数据隐私保护强化等多重挑战，采购作为供应链核心环节，其合规风险已成为企业运营的核心痛点。</w:t>
      </w:r>
    </w:p>
    <w:p w14:paraId="0FF58B4F" w14:textId="77777777" w:rsidR="00996A39" w:rsidRDefault="00E74771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微观层面，企业合规风险已从“后台问题”升级为“战略级威胁”：商业活动中的断供风险、商业贿赂、质量门事件高居不下；据Gartner2025年最新预测，全球因采购不合规导致的平均损失将达企业营收的2.3%，且70%的企业因合规问题遭遇品牌声誉危机。</w:t>
      </w:r>
    </w:p>
    <w:p w14:paraId="59EE01C1" w14:textId="77777777" w:rsidR="00996A39" w:rsidRDefault="00E74771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本课程基于国际最新合规框架及行业实践，结合制造业、零售业真实案例，系统解析采购合规体系构建与风险控制策略，确保企业</w:t>
      </w:r>
      <w:r>
        <w:rPr>
          <w:rFonts w:ascii="宋体" w:eastAsia="宋体" w:hAnsi="宋体"/>
          <w:sz w:val="24"/>
        </w:rPr>
        <w:t>“合法、透明、可追溯”</w:t>
      </w:r>
      <w:r>
        <w:rPr>
          <w:rFonts w:ascii="宋体" w:eastAsia="宋体" w:hAnsi="宋体" w:hint="eastAsia"/>
          <w:sz w:val="24"/>
        </w:rPr>
        <w:t>，同时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助力企业实现“合规创造价值”。</w:t>
      </w:r>
    </w:p>
    <w:p w14:paraId="1AC641D3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42D8070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课程收益</w:t>
      </w:r>
      <w:r>
        <w:rPr>
          <w:rFonts w:ascii="Times New Roman" w:eastAsia="宋体" w:hAnsi="Times New Roman" w:cs="Times New Roman" w:hint="eastAsia"/>
          <w:b/>
          <w:color w:val="1F4E79"/>
          <w:sz w:val="24"/>
          <w14:ligatures w14:val="none"/>
        </w:rPr>
        <w:t>：</w:t>
      </w:r>
    </w:p>
    <w:p w14:paraId="74928D6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掌握全球采购合规核心要求与区域差异，独立设计企业合规框架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，</w:t>
      </w:r>
      <w:r>
        <w:rPr>
          <w:rFonts w:ascii="宋体" w:eastAsia="宋体" w:hAnsi="宋体" w:cs="Times New Roman"/>
          <w:bCs/>
          <w:sz w:val="24"/>
          <w14:ligatures w14:val="none"/>
        </w:rPr>
        <w:t>从被动应对检查转向主动设计合规体系</w:t>
      </w:r>
    </w:p>
    <w:p w14:paraId="35479DE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掌握合规-业务-成本-品牌协同方法论，提升供应链韧性与可持续竞争力</w:t>
      </w:r>
    </w:p>
    <w:p w14:paraId="17819FE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获得可落地的工具模板（合规清单、风险评估表、TCO计算表）</w:t>
      </w:r>
    </w:p>
    <w:p w14:paraId="62E12E5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通过案例与沙盘模拟，提升实际风险应对能力</w:t>
      </w:r>
    </w:p>
    <w:p w14:paraId="73BBF1B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 xml:space="preserve"> 掌握合规体系搭建、风险识别、成本优化、数据管理4大能力</w:t>
      </w:r>
    </w:p>
    <w:p w14:paraId="0C34A3BE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5A7A749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课程时间：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2天，6小时/天</w:t>
      </w:r>
    </w:p>
    <w:p w14:paraId="26D759B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课程对象：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供应链/采购业务骨干、运营/品类经理、合规负责人/法务/风控人员</w:t>
      </w:r>
    </w:p>
    <w:p w14:paraId="2E987B7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课程方式：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讲师讲授（40%）+案例分析（30%）+小组讨论（20%）+沙盘模拟（10%）</w:t>
      </w:r>
    </w:p>
    <w:p w14:paraId="2AC49B5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课程特色：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聚焦实战（IKEA/JYSK/Walmart/Costco亲历案例）/逻辑闭环：why-who-how,全球对标；最后到“成本消化（持续做）”和“数据（未来怎么做）”</w:t>
      </w:r>
    </w:p>
    <w:p w14:paraId="5387DA5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合规自查清单/风险评估矩阵/TCO（总拥有成本）计算表</w:t>
      </w:r>
    </w:p>
    <w:p w14:paraId="1DCFA92D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4299E2F6" w14:textId="77777777" w:rsidR="00996A39" w:rsidRDefault="00E74771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课程大纲</w:t>
      </w:r>
    </w:p>
    <w:p w14:paraId="24A4D960" w14:textId="77777777" w:rsidR="00996A39" w:rsidRDefault="00E74771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第一讲：认知重塑——从“业务枷锁”到“企业竞争力”</w:t>
      </w:r>
    </w:p>
    <w:p w14:paraId="633401D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一、内涵重构：采购合规新定义</w:t>
      </w:r>
    </w:p>
    <w:p w14:paraId="5D370691" w14:textId="77777777" w:rsidR="00996A39" w:rsidRPr="00224010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224010"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1. 供应链特征：“脆弱性与强监管”并存</w:t>
      </w:r>
    </w:p>
    <w:p w14:paraId="4E250BD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小组讨论：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为什么传统的“最低价中标”模式在合规面前已失效？</w:t>
      </w:r>
    </w:p>
    <w:p w14:paraId="7E45574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思考指引：</w:t>
      </w:r>
    </w:p>
    <w:p w14:paraId="4531525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1）法律法规限制“唯低价论”</w:t>
      </w:r>
    </w:p>
    <w:p w14:paraId="1031E6C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2）低价低质引发多重合规风险(质规安规环规）</w:t>
      </w:r>
    </w:p>
    <w:p w14:paraId="656FE33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3）恶意低价/围标串标，触碰《反不正当竞争法》/《反垄断法》红线</w:t>
      </w:r>
    </w:p>
    <w:p w14:paraId="106DB82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4）监管逻辑转向“全生命周期价值”LCC</w:t>
      </w:r>
    </w:p>
    <w:p w14:paraId="5C3DDECB" w14:textId="3D2984A5" w:rsidR="00996A39" w:rsidRPr="00224010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224010">
        <w:rPr>
          <w:rFonts w:ascii="宋体" w:eastAsia="宋体" w:hAnsi="宋体" w:cs="Times New Roman" w:hint="eastAsia"/>
          <w:bCs/>
          <w:sz w:val="24"/>
          <w14:ligatures w14:val="none"/>
        </w:rPr>
        <w:t>2.</w:t>
      </w:r>
      <w:r w:rsidR="00224010">
        <w:rPr>
          <w:rFonts w:ascii="宋体" w:eastAsia="宋体" w:hAnsi="宋体" w:cs="Times New Roman" w:hint="eastAsia"/>
          <w:bCs/>
          <w:sz w:val="24"/>
          <w14:ligatures w14:val="none"/>
        </w:rPr>
        <w:t xml:space="preserve"> </w:t>
      </w:r>
      <w:r w:rsidRPr="00224010">
        <w:rPr>
          <w:rFonts w:ascii="宋体" w:eastAsia="宋体" w:hAnsi="宋体" w:cs="Times New Roman" w:hint="eastAsia"/>
          <w:bCs/>
          <w:sz w:val="24"/>
          <w14:ligatures w14:val="none"/>
        </w:rPr>
        <w:t>职能跃迁</w:t>
      </w:r>
    </w:p>
    <w:p w14:paraId="6087722D" w14:textId="36D24C23" w:rsidR="00996A39" w:rsidRDefault="004863CB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="00E74771">
        <w:rPr>
          <w:rFonts w:ascii="宋体" w:eastAsia="宋体" w:hAnsi="宋体" w:cs="Times New Roman" w:hint="eastAsia"/>
          <w:b/>
          <w:sz w:val="24"/>
          <w14:ligatures w14:val="none"/>
        </w:rPr>
        <w:t>采购合规在组织架构中的角色</w:t>
      </w:r>
    </w:p>
    <w:p w14:paraId="4733FFA4" w14:textId="7556133E" w:rsidR="00996A39" w:rsidRDefault="004863CB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从“职能部门”到“第三道防线”的转变</w:t>
      </w:r>
    </w:p>
    <w:p w14:paraId="30E30182" w14:textId="34713048" w:rsidR="00996A39" w:rsidRDefault="004863CB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职能汇报线：虚线汇报给业务vs实线汇报给审计委员会（独立性原则）</w:t>
      </w:r>
    </w:p>
    <w:p w14:paraId="0FBDA448" w14:textId="212F7390" w:rsidR="00996A39" w:rsidRDefault="004863CB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模型引入：“三道防线”模型在采购中的具体映射</w:t>
      </w:r>
    </w:p>
    <w:p w14:paraId="79541FA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与业务的关系：合规是“刹车”还是“方向盘”？</w:t>
      </w:r>
    </w:p>
    <w:p w14:paraId="2B4ECD5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1）破除对立：合规不是“说不”，而是“如何说行”</w:t>
      </w:r>
    </w:p>
    <w:p w14:paraId="092858B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2）合规赋能业务的三个层次</w:t>
      </w:r>
    </w:p>
    <w:p w14:paraId="6BDF998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风险规避（保生存）→效率提升（标准化）→商业价值（品牌溢价）</w:t>
      </w:r>
    </w:p>
    <w:p w14:paraId="7C129DD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二、采购合规：可持续发展的“必选项”</w:t>
      </w:r>
    </w:p>
    <w:p w14:paraId="713E6FC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政策驱动</w:t>
      </w:r>
    </w:p>
    <w:p w14:paraId="0352754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——中国《反不正当竞争法》/《数据安全法》、欧盟《新电池法》、美国UFLPA等法规更新</w:t>
      </w:r>
    </w:p>
    <w:p w14:paraId="0D697B1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市场驱动：客户对ESG/道德采购的要求</w:t>
      </w:r>
    </w:p>
    <w:p w14:paraId="22A2C1A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苹果、特斯拉供应商行为准则</w:t>
      </w:r>
    </w:p>
    <w:p w14:paraId="58EAD31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风险驱动：近3年典型采购不合规案例</w:t>
      </w:r>
    </w:p>
    <w:p w14:paraId="43B01901" w14:textId="1A1EF41D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某车企因供应商童工被罚2亿、某大厂因数据泄露遭集体诉讼</w:t>
      </w:r>
    </w:p>
    <w:p w14:paraId="55BC0F6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三、采购合规的战略价值</w:t>
      </w:r>
    </w:p>
    <w:p w14:paraId="2AA8E78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1. 降低法律/财务/声誉风险</w:t>
      </w:r>
    </w:p>
    <w:p w14:paraId="2CC6BD1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2. 提升供应链稳定性与议价能力</w:t>
      </w:r>
    </w:p>
    <w:p w14:paraId="5F52260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支撑企业ESG评级与品牌溢价</w:t>
      </w:r>
    </w:p>
    <w:p w14:paraId="6D88C2BC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32A3A65A" w14:textId="77777777" w:rsidR="00996A39" w:rsidRDefault="00E74771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第二讲：博弈共生——采购合规赋能业务与品牌</w:t>
      </w:r>
    </w:p>
    <w:p w14:paraId="4B318E8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一、线上线下：采购合规的类型、差异与应对</w:t>
      </w:r>
    </w:p>
    <w:p w14:paraId="4734D37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采购模式分类</w:t>
      </w:r>
    </w:p>
    <w:p w14:paraId="50A1459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1）线上采购：电商化平台、电子招标、API直连采购</w:t>
      </w:r>
    </w:p>
    <w:p w14:paraId="55F75EA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2）线下采购：传统招标、询比价、长期协议、紧急采购</w:t>
      </w:r>
    </w:p>
    <w:p w14:paraId="0DF76B1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 xml:space="preserve">2. </w:t>
      </w:r>
      <w:r>
        <w:rPr>
          <w:rFonts w:ascii="宋体" w:eastAsia="宋体" w:hAnsi="宋体" w:cs="Times New Roman" w:hint="eastAsia"/>
          <w:b/>
          <w:sz w:val="24"/>
          <w14:ligatures w14:val="none"/>
        </w:rPr>
        <w:t>采购合规重点</w:t>
      </w:r>
    </w:p>
    <w:p w14:paraId="67D30D5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1）线上合规</w:t>
      </w:r>
    </w:p>
    <w:p w14:paraId="26B3BC37" w14:textId="5B9A666D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a数据合规：用户隐私（GDPR/《个人信息保护法》）、交易数据留存</w:t>
      </w:r>
    </w:p>
    <w:p w14:paraId="58485C40" w14:textId="4D58417B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b平台合规：供应商资质审核</w:t>
      </w:r>
    </w:p>
    <w:p w14:paraId="6B07EE05" w14:textId="4DD4FC60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c技术合规：防篡改（区块链存证）、防围标（IP地址监测）</w:t>
      </w:r>
    </w:p>
    <w:p w14:paraId="2A432FC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2）线下合规</w:t>
      </w:r>
    </w:p>
    <w:p w14:paraId="6E8D9A38" w14:textId="7EE2CFE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a反商业贿赂：礼品/招待费标准、利益输送识别</w:t>
      </w:r>
    </w:p>
    <w:p w14:paraId="496252E0" w14:textId="5E4ED9BC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b文件合规：纸质合同签署权限、审批流留痕、档案保存期限</w:t>
      </w:r>
    </w:p>
    <w:p w14:paraId="5C12310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3）差异对比与融合策略</w:t>
      </w:r>
    </w:p>
    <w:p w14:paraId="40EF57E5" w14:textId="1203F53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a核心差异：线上重“数据+技术”，线下重“流程+人控”</w:t>
      </w:r>
    </w:p>
    <w:p w14:paraId="390BC62E" w14:textId="3CE2F262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b融合建议：建立统一合规标准，线上用技术赋能，线下用流程补位</w:t>
      </w:r>
    </w:p>
    <w:p w14:paraId="13BEB25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二、采购合规与业务的协同关系</w:t>
      </w:r>
    </w:p>
    <w:p w14:paraId="15CBC4F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合规与业务的目标冲突与平衡</w:t>
      </w:r>
    </w:p>
    <w:p w14:paraId="454EFA29" w14:textId="6C3580C8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常见矛盾：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“合规要求增加成本/效率”vs“业务追求快速交付/低价”</w:t>
      </w:r>
    </w:p>
    <w:p w14:paraId="01DFE1F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平衡原则：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以风险等级为核心，区分红线合规如反贿赂、安全与弹性合规</w:t>
      </w:r>
    </w:p>
    <w:p w14:paraId="04ECB03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合规嵌入业务流关键节点</w:t>
      </w:r>
    </w:p>
    <w:p w14:paraId="07315F5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1）需求阶段：明确合规要求——环保材料、本地化比例</w:t>
      </w:r>
    </w:p>
    <w:p w14:paraId="0C2354E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2）寻源阶段：供应商合规资质审查</w:t>
      </w:r>
    </w:p>
    <w:p w14:paraId="4F2A8EBB" w14:textId="414162BB" w:rsidR="00996A39" w:rsidRPr="00E74771" w:rsidRDefault="00E74771" w:rsidP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</w:t>
      </w:r>
      <w:r w:rsidRPr="00E74771">
        <w:rPr>
          <w:rFonts w:ascii="宋体" w:eastAsia="宋体" w:hAnsi="宋体" w:cs="Times New Roman" w:hint="eastAsia"/>
          <w:bCs/>
          <w:sz w:val="24"/>
          <w14:ligatures w14:val="none"/>
        </w:rPr>
        <w:t>合同阶段：合规条款设计</w:t>
      </w:r>
    </w:p>
    <w:p w14:paraId="0ED8C48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4）执行阶段：流程控制</w:t>
      </w:r>
    </w:p>
    <w:p w14:paraId="6E27CF2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业务部门在合规中的角色</w:t>
      </w:r>
    </w:p>
    <w:p w14:paraId="08426C6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1）采购：合规第一责任人，需具备“业务+合规”双视角</w:t>
      </w:r>
    </w:p>
    <w:p w14:paraId="77445FA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2）需求部门：提供准确合规需求，避免“过度合规”或“漏项”</w:t>
      </w:r>
    </w:p>
    <w:p w14:paraId="1517C15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3）管理层：资源支持与决策背书</w:t>
      </w:r>
    </w:p>
    <w:p w14:paraId="4B61481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三、采购合规与品牌/业务的价值协同</w:t>
      </w:r>
    </w:p>
    <w:p w14:paraId="6E16EB7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合规提升品牌价值</w:t>
      </w:r>
    </w:p>
    <w:p w14:paraId="00537FD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Patagonia“不要买这件夹克”营销，通过环保合规（回收材料）强化品牌形象</w:t>
      </w:r>
    </w:p>
    <w:p w14:paraId="1E5CCFC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数据：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Nielsen调研显示，66%消费者愿为“道德品牌”支付溢价</w:t>
      </w:r>
    </w:p>
    <w:p w14:paraId="699AAE6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合规对业务增长的支撑</w:t>
      </w:r>
    </w:p>
    <w:p w14:paraId="6E21696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1）市场准入：如进入欧盟需符合REACH法规（化学品注册）</w:t>
      </w:r>
    </w:p>
    <w:p w14:paraId="12D47E6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2）客户信任：B2B客户将供应商合规作为准入门槛</w:t>
      </w:r>
    </w:p>
    <w:p w14:paraId="7D0269C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避免“合规过度”陷阱</w:t>
      </w:r>
    </w:p>
    <w:p w14:paraId="60A08C6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原则：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基于风险等级配置资源</w:t>
      </w:r>
    </w:p>
    <w:p w14:paraId="0A37EDC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合规ROI分析（投入=审计/系统成本，产出=风险损失减少+品牌增值）</w:t>
      </w:r>
    </w:p>
    <w:p w14:paraId="1EA94C93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5FEB6B1B" w14:textId="77777777" w:rsidR="00996A39" w:rsidRDefault="00E74771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第三讲：标杆实践：全球采购合规要求与实践</w:t>
      </w:r>
    </w:p>
    <w:p w14:paraId="6578E47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一、全球采购合规挑战与战略价值</w:t>
      </w:r>
    </w:p>
    <w:p w14:paraId="69E28F0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全球化采购的复杂性</w:t>
      </w:r>
    </w:p>
    <w:p w14:paraId="33954CB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1）多法域监管冲突：美/EU/中/新兴市场</w:t>
      </w:r>
    </w:p>
    <w:p w14:paraId="01ADE90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2）地缘政治与贸易壁垒的影响：关税战、制裁清单</w:t>
      </w:r>
    </w:p>
    <w:p w14:paraId="07D1300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3）数字化供应链带来的新型风险：数据跨境、AI伦理</w:t>
      </w:r>
    </w:p>
    <w:p w14:paraId="7F2CFDE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合规对企业的战略价值</w:t>
      </w:r>
    </w:p>
    <w:p w14:paraId="7C16351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1）避免高额罚金</w:t>
      </w:r>
    </w:p>
    <w:p w14:paraId="7AFFB9B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西门子11亿美元FCPA和解案</w:t>
      </w:r>
    </w:p>
    <w:p w14:paraId="3F83FC1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2）维护品牌声誉与客户信任</w:t>
      </w:r>
    </w:p>
    <w:p w14:paraId="456AE62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3）国际市场准入与ESG评级提升</w:t>
      </w:r>
    </w:p>
    <w:p w14:paraId="310B6FC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二、全球核心合规框架深度解析</w:t>
      </w:r>
    </w:p>
    <w:p w14:paraId="1ECC25C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通用底层逻辑：反腐败与反贿赂</w:t>
      </w:r>
    </w:p>
    <w:p w14:paraId="18D2CA4B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1）美国FCPA：长臂管辖原则(账簿记录条款+反贿赂条款))</w:t>
      </w:r>
    </w:p>
    <w:p w14:paraId="69A7682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2）英国UK Bribery Act：全球管辖原则-商业组织预防贿赂失职罪</w:t>
      </w:r>
    </w:p>
    <w:p w14:paraId="56536FE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3）中国《反不正当竞争法》与礼品政策设计</w:t>
      </w:r>
    </w:p>
    <w:p w14:paraId="59F861DB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贸易管制与经济制裁</w:t>
      </w:r>
    </w:p>
    <w:p w14:paraId="28CEFB3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1）美国OFAC制裁清单动态监控</w:t>
      </w:r>
    </w:p>
    <w:p w14:paraId="2787E24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2）欧盟两用物项条例（ECCN编码）</w:t>
      </w:r>
    </w:p>
    <w:p w14:paraId="2300258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3）实体清单应对策略</w:t>
      </w:r>
    </w:p>
    <w:p w14:paraId="57AC187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华为案例复盘</w:t>
      </w:r>
    </w:p>
    <w:p w14:paraId="00343D9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数据与隐私保护</w:t>
      </w:r>
    </w:p>
    <w:p w14:paraId="6F2B9CF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1）GDPR对个人数据的跨境传输限制</w:t>
      </w:r>
    </w:p>
    <w:p w14:paraId="773100F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2）中国《数据安全法》对供应商审计的要求</w:t>
      </w:r>
    </w:p>
    <w:p w14:paraId="2DFF51D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4. 劳工与人权标准</w:t>
      </w:r>
    </w:p>
    <w:p w14:paraId="36F4331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1）ILO核心公约vs各国本土化立法（德国《供应链法》）</w:t>
      </w:r>
    </w:p>
    <w:p w14:paraId="515824B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2）BSCI认证实操要点</w:t>
      </w:r>
    </w:p>
    <w:p w14:paraId="3D84440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三、标杆企业合规实践拆解与总结</w:t>
      </w:r>
    </w:p>
    <w:p w14:paraId="1632EDC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合规实践拆解</w:t>
      </w:r>
    </w:p>
    <w:p w14:paraId="3AD8C35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1）科技巨头：苹果供应链管理</w:t>
      </w:r>
    </w:p>
    <w:p w14:paraId="28CA7E2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闭环合规体系：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TCO模型嵌入合规成本；供应商行为准则（SAC）的100%签约率</w:t>
      </w:r>
    </w:p>
    <w:p w14:paraId="7B55813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技术赋能：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区块链溯源冲突矿产（锡/钽/钨/金）</w:t>
      </w:r>
    </w:p>
    <w:p w14:paraId="1A4A2067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2）汽车龙头：大众集团合规转型</w:t>
      </w:r>
    </w:p>
    <w:p w14:paraId="03E1E4DD" w14:textId="232A0FAF" w:rsidR="00996A39" w:rsidRPr="00922DF4" w:rsidRDefault="00E74771" w:rsidP="00922DF4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“合规即文化”落地路径：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三级举报机制（热线/邮箱/第三方平台）</w:t>
      </w:r>
      <w:r w:rsidR="00922DF4">
        <w:rPr>
          <w:rFonts w:ascii="宋体" w:eastAsia="宋体" w:hAnsi="宋体" w:cs="Times New Roman" w:hint="eastAsia"/>
          <w:b/>
          <w:sz w:val="24"/>
          <w14:ligatures w14:val="none"/>
        </w:rPr>
        <w:t>；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供应商“红黄绿灯”分级审计制度</w:t>
      </w:r>
    </w:p>
    <w:p w14:paraId="0C15A10B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3）零售巨头：沃尔玛透明化实践与道德采购计划</w:t>
      </w:r>
    </w:p>
    <w:p w14:paraId="4F81276D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5982612E" wp14:editId="79D70BA8">
            <wp:simplePos x="0" y="0"/>
            <wp:positionH relativeFrom="column">
              <wp:posOffset>4314190</wp:posOffset>
            </wp:positionH>
            <wp:positionV relativeFrom="paragraph">
              <wp:posOffset>249555</wp:posOffset>
            </wp:positionV>
            <wp:extent cx="2017395" cy="923925"/>
            <wp:effectExtent l="0" t="0" r="1905" b="9525"/>
            <wp:wrapThrough wrapText="bothSides">
              <wp:wrapPolygon edited="0">
                <wp:start x="0" y="0"/>
                <wp:lineTo x="0" y="21377"/>
                <wp:lineTo x="21416" y="21377"/>
                <wp:lineTo x="21416" y="0"/>
                <wp:lineTo x="0" y="0"/>
              </wp:wrapPolygon>
            </wp:wrapThrough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DF4">
        <w:rPr>
          <w:rFonts w:ascii="宋体" w:eastAsia="宋体" w:hAnsi="宋体" w:cs="Times New Roman"/>
          <w:bCs/>
          <w:sz w:val="24"/>
          <w14:ligatures w14:val="none"/>
        </w:rPr>
        <w:t>4</w:t>
      </w: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）IKEA（宜家）—— “IWAY”标准</w:t>
      </w:r>
    </w:p>
    <w:p w14:paraId="28D25EA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方法：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不仅针对一级供应商，贯穿森林、棉花等原材料源头</w:t>
      </w:r>
    </w:p>
    <w:p w14:paraId="2985451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要求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：最低工资、拒绝童工、环境保护</w:t>
      </w:r>
    </w:p>
    <w:p w14:paraId="78B968A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5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）中国出海代表：宁德时代全球合规</w:t>
      </w:r>
    </w:p>
    <w:p w14:paraId="1ECE662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工具包</w:t>
      </w: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>：</w:t>
      </w:r>
      <w:r>
        <w:rPr>
          <w:rFonts w:ascii="宋体" w:eastAsia="宋体" w:hAnsi="宋体" w:cs="Times New Roman" w:hint="eastAsia"/>
          <w:sz w:val="24"/>
          <w14:ligatures w14:val="none"/>
        </w:rPr>
        <w:t>合规管理模型、供应商风险评估矩阵、合同合规条款库、数字化解决方案</w:t>
      </w:r>
    </w:p>
    <w:p w14:paraId="6F32B9BE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080C8F5C" w14:textId="77777777" w:rsidR="00996A39" w:rsidRDefault="00E74771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/>
          <w:b/>
          <w:bCs/>
          <w:noProof/>
          <w:sz w:val="24"/>
        </w:rPr>
        <w:drawing>
          <wp:anchor distT="0" distB="0" distL="114300" distR="114300" simplePos="0" relativeHeight="251660288" behindDoc="1" locked="0" layoutInCell="1" allowOverlap="1" wp14:anchorId="49E72617" wp14:editId="43AD1626">
            <wp:simplePos x="0" y="0"/>
            <wp:positionH relativeFrom="column">
              <wp:posOffset>3669030</wp:posOffset>
            </wp:positionH>
            <wp:positionV relativeFrom="paragraph">
              <wp:posOffset>17145</wp:posOffset>
            </wp:positionV>
            <wp:extent cx="2870835" cy="710565"/>
            <wp:effectExtent l="0" t="0" r="5715" b="3810"/>
            <wp:wrapThrough wrapText="bothSides">
              <wp:wrapPolygon edited="0">
                <wp:start x="0" y="0"/>
                <wp:lineTo x="0" y="21426"/>
                <wp:lineTo x="21500" y="21426"/>
                <wp:lineTo x="21500" y="0"/>
                <wp:lineTo x="0" y="0"/>
              </wp:wrapPolygon>
            </wp:wrapThrough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第四讲：价值转型——从被动合规到主动创值</w:t>
      </w:r>
    </w:p>
    <w:p w14:paraId="64E46E1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一、全景拆解：合规成本的3大类型</w:t>
      </w:r>
    </w:p>
    <w:p w14:paraId="2A609F5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直接成本：看得见的“硬支出”</w:t>
      </w:r>
    </w:p>
    <w:p w14:paraId="7979963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1）验厂/审计费：第三方机构的现场审核成本</w:t>
      </w:r>
    </w:p>
    <w:p w14:paraId="4885029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某服装企业年验厂费超200万元</w:t>
      </w:r>
    </w:p>
    <w:p w14:paraId="31C22F4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2）环保/安全设备投入：废水处理系统、劳保设施升级</w:t>
      </w:r>
    </w:p>
    <w:p w14:paraId="019BB1E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化工企业VOCs治理设备投入占比营收3%</w:t>
      </w:r>
    </w:p>
    <w:p w14:paraId="4D03890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3）认证费：ISO 14001（环境）、ISO 45001（职业健康）、SA8000（社会责任）</w:t>
      </w:r>
    </w:p>
    <w:p w14:paraId="1BABF92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4）系统授权费：合规管理系统的License费用</w:t>
      </w:r>
    </w:p>
    <w:p w14:paraId="2F813F6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痛点：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中小企业易因“单次支出高”放弃合规，导致后期罚金远超前期投入</w:t>
      </w:r>
    </w:p>
    <w:p w14:paraId="0C6A392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某玩具厂未做ICTI认证被罚500万元</w:t>
      </w:r>
    </w:p>
    <w:p w14:paraId="621F1B6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间接成本：易被忽视的“软损耗”</w:t>
      </w:r>
    </w:p>
    <w:p w14:paraId="507F8BC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1）管理成本：合规团队人力</w:t>
      </w:r>
    </w:p>
    <w:p w14:paraId="4821B20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2）切换磨合成本：淘汰高风险供方，新导入供方的交付延迟、质量波动损失</w:t>
      </w:r>
    </w:p>
    <w:p w14:paraId="4FB85A0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3）流程效率损失：多轮合规审批导致的订单周期延长</w:t>
      </w:r>
    </w:p>
    <w:p w14:paraId="6E62154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4）培训成本：员工合规意识培训</w:t>
      </w:r>
    </w:p>
    <w:p w14:paraId="43D65B9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某车企年度反贿赂培训覆盖3000人，成本150万元</w:t>
      </w:r>
    </w:p>
    <w:p w14:paraId="1184AF2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机会成本：放弃的“潜在收益”</w:t>
      </w:r>
    </w:p>
    <w:p w14:paraId="2A4082A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场景1：拒绝使用“血汗工厂”代工（虽单价低30%，但面临品牌抵制风险）</w:t>
      </w:r>
    </w:p>
    <w:p w14:paraId="07E1E4F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场景2：放弃采购未通过冲突矿产认证的原材料（避免被列入OECD黑名单）</w:t>
      </w:r>
    </w:p>
    <w:p w14:paraId="0019A17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量化工具：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机会成本=放弃供应商的年采购额×风险溢价系数</w:t>
      </w:r>
    </w:p>
    <w:p w14:paraId="7253FB8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二、价值转型--采购合规成本消化的7大策略</w:t>
      </w:r>
    </w:p>
    <w:p w14:paraId="1AE4D405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策略一：规模效应——集中采购与共享降本</w:t>
      </w:r>
    </w:p>
    <w:p w14:paraId="25DE2D40" w14:textId="18AE13D0" w:rsidR="00922DF4" w:rsidRDefault="00922DF4">
      <w:pPr>
        <w:spacing w:after="0" w:line="480" w:lineRule="exact"/>
        <w:jc w:val="both"/>
        <w:rPr>
          <w:rFonts w:ascii="宋体" w:eastAsia="宋体" w:hAnsi="宋体" w:cs="Times New Roman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</w:t>
      </w:r>
      <w:r w:rsidR="00E74771">
        <w:rPr>
          <w:rFonts w:ascii="宋体" w:eastAsia="宋体" w:hAnsi="宋体" w:cs="Times New Roman" w:hint="eastAsia"/>
          <w:b/>
          <w:sz w:val="24"/>
          <w14:ligatures w14:val="none"/>
        </w:rPr>
        <w:t>：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3家电子企业联合验厂，单家成本降低40%</w:t>
      </w:r>
    </w:p>
    <w:p w14:paraId="2E485DD0" w14:textId="0EE33E46" w:rsidR="00996A39" w:rsidRDefault="00922DF4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某零售联盟联合采购ISO认证服务，降本25%）</w:t>
      </w:r>
    </w:p>
    <w:p w14:paraId="2943B980" w14:textId="28F66F69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策略二：技术替代——用数字化工具提效降本</w:t>
      </w:r>
    </w:p>
    <w:p w14:paraId="08EA0EC1" w14:textId="77777777" w:rsidR="00922DF4" w:rsidRDefault="00E74771">
      <w:pPr>
        <w:spacing w:after="0" w:line="480" w:lineRule="exact"/>
        <w:jc w:val="both"/>
        <w:rPr>
          <w:rFonts w:ascii="宋体" w:eastAsia="宋体" w:hAnsi="宋体" w:cs="Times New Roman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某律所AI审合同效率提升70%，错误率下降50%</w:t>
      </w:r>
    </w:p>
    <w:p w14:paraId="6644C376" w14:textId="24714720" w:rsidR="00996A39" w:rsidRDefault="00922DF4" w:rsidP="00922DF4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="00E74771">
        <w:rPr>
          <w:rFonts w:ascii="宋体" w:eastAsia="宋体" w:hAnsi="宋体" w:cs="Times New Roman" w:hint="eastAsia"/>
          <w:bCs/>
          <w:sz w:val="24"/>
          <w14:ligatures w14:val="none"/>
        </w:rPr>
        <w:t>IBM Food Trust降低食品合规溯源成本60%</w:t>
      </w:r>
    </w:p>
    <w:p w14:paraId="770B7535" w14:textId="1D35A63D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策略三：风险转移——用金融工具对冲潜在损失</w:t>
      </w:r>
    </w:p>
    <w:p w14:paraId="456709A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某跨国企业投保合规险，覆盖最高5000万美元罚金</w:t>
      </w:r>
    </w:p>
    <w:p w14:paraId="09D7214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高合规供应商获低息贷款，企业同步降低坏账风险</w:t>
      </w:r>
    </w:p>
    <w:p w14:paraId="1D23CDED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策略四：价值转化——将合规投入变为“客户买单的理由”</w:t>
      </w:r>
    </w:p>
    <w:p w14:paraId="66E1021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Patagonia标注每件衣服的碳排放数据，溢价提升20%</w:t>
      </w:r>
    </w:p>
    <w:p w14:paraId="3F807CE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某家居品牌凭认证进入欧洲高端超市</w:t>
      </w:r>
    </w:p>
    <w:p w14:paraId="286FC75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宁德时代ESG评级提升后，融资成本下降1.5%</w:t>
      </w:r>
    </w:p>
    <w:p w14:paraId="633E2DF7" w14:textId="3ED8BBDA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策略五：TCO总拥有成本——证明“贵得有理”</w:t>
      </w:r>
    </w:p>
    <w:p w14:paraId="637637C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方法论：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对比合规与非合规供应商的综合成本</w:t>
      </w:r>
    </w:p>
    <w:p w14:paraId="49464EA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公式：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TCO=采购价+质量损失成本（退货/返工）+交付延迟成本（停工待料）+合规风险成本（罚金/声誉损失）</w:t>
      </w:r>
    </w:p>
    <w:p w14:paraId="2943CDC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某汽车零部件企业对比发现，合规供应商单价高15%，但质量损失率低80%，综合TCO反而低22%</w:t>
      </w:r>
    </w:p>
    <w:p w14:paraId="29395FB3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策略六：价值工程——联合研发共享合规溢价</w:t>
      </w:r>
    </w:p>
    <w:p w14:paraId="717FE0AB" w14:textId="1BAB6B6C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某新能源车企联合电池供应商研发“零碳电池”；利用其合规壁垒进入高端市场分享高溢价</w:t>
      </w:r>
    </w:p>
    <w:p w14:paraId="5974843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举例：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合规供应商因认证获得高端订单，返还企业5%研发费用</w:t>
      </w:r>
    </w:p>
    <w:p w14:paraId="660182E1" w14:textId="77777777" w:rsidR="00996A39" w:rsidRPr="00922DF4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策略七：供应链金融——用资金杠杆换成本优势</w:t>
      </w:r>
    </w:p>
    <w:p w14:paraId="191E230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某零售企业对A级供应商贴现利率低2%）</w:t>
      </w:r>
    </w:p>
    <w:p w14:paraId="0A89407B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某制造商凭合规评级获3%单价优惠</w:t>
      </w:r>
    </w:p>
    <w:p w14:paraId="4E7B68C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联动银行搭建“合规供应商白名单”，嵌入ERP系统自动触发金融支持</w:t>
      </w:r>
    </w:p>
    <w:p w14:paraId="6F6E852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实战演练：</w:t>
      </w:r>
      <w:r w:rsidRPr="00922DF4">
        <w:rPr>
          <w:rFonts w:ascii="宋体" w:eastAsia="宋体" w:hAnsi="宋体" w:cs="Times New Roman" w:hint="eastAsia"/>
          <w:bCs/>
          <w:sz w:val="24"/>
          <w14:ligatures w14:val="none"/>
        </w:rPr>
        <w:t>成本消化方案设计与点评</w:t>
      </w:r>
    </w:p>
    <w:p w14:paraId="507AD99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标杆案例对标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：特斯拉上海工厂（正面）+某快消品企业（反面）</w:t>
      </w:r>
    </w:p>
    <w:p w14:paraId="13FA3A7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工具交付：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《合规成本构成自查清单》、《7大成本消化策略案例集》、《TCO对比计算器》、合规金融工具清单</w:t>
      </w:r>
    </w:p>
    <w:p w14:paraId="01A2B5F0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</w:p>
    <w:p w14:paraId="5A2A7A93" w14:textId="77777777" w:rsidR="00996A39" w:rsidRDefault="00E74771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第五讲：拥抱数据--产业链合规数字化转型</w:t>
      </w:r>
    </w:p>
    <w:p w14:paraId="2AAD30B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一、合规数据的重要性</w:t>
      </w:r>
    </w:p>
    <w:p w14:paraId="5131F30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识别与预警合规风险</w:t>
      </w:r>
    </w:p>
    <w:p w14:paraId="04464A7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核心逻辑：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整合内外部数据如供应商涉诉记录、制裁清单动态、ESG违规事</w:t>
      </w:r>
    </w:p>
    <w:p w14:paraId="17A44E3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核心价值：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对潜在风险早识别、早预警、早干预;避免高额罚金和声誉崩塌</w:t>
      </w:r>
    </w:p>
    <w:p w14:paraId="15586AC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2. 驱动科学决策与资源优化配置</w:t>
      </w:r>
    </w:p>
    <w:p w14:paraId="7C05C20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核心逻辑：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对比、建模，支撑企业在“合规投入”与“业务效率”间找到最优解</w:t>
      </w:r>
    </w:p>
    <w:p w14:paraId="03F1E0B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核心价值：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构建量化分析的“标尺”，破解“成本-合规”矛盾</w:t>
      </w:r>
    </w:p>
    <w:p w14:paraId="714763B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赋能价值创造与利益相关方信任，实现“合规即竞争力”</w:t>
      </w:r>
    </w:p>
    <w:p w14:paraId="5ACA228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核心逻辑：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通过透明化、可验证的数据，将合规投入转化为客户认可、投资者青睐、监管肯定的差异化优势</w:t>
      </w:r>
    </w:p>
    <w:p w14:paraId="179B590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核心价值：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合规成为品牌溢价、市场准入、资本偏好的核心竞争力</w:t>
      </w:r>
    </w:p>
    <w:p w14:paraId="3DB24B8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二、数据收集与应用</w:t>
      </w:r>
    </w:p>
    <w:p w14:paraId="7C08AE3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全链路覆盖</w:t>
      </w:r>
    </w:p>
    <w:p w14:paraId="74117AC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1）上游：供应商资质（营业执照、认证证书）、原材料来源</w:t>
      </w:r>
    </w:p>
    <w:p w14:paraId="5DA11B75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2）中游：生产过程（能耗、排放、劳工工时）、物流（运输方式碳排放）</w:t>
      </w:r>
    </w:p>
    <w:p w14:paraId="08A743A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3）下游：产品使用（回收率）、废弃处理（有害物质含量）</w:t>
      </w:r>
    </w:p>
    <w:p w14:paraId="13DA2F1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数据应用：从“记录”到“决策”</w:t>
      </w:r>
    </w:p>
    <w:p w14:paraId="344D304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1）风险预警：通过数据分析识别高风险供应商</w:t>
      </w:r>
    </w:p>
    <w:p w14:paraId="104263C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2）绩效评估：用合规数据考核采购团队</w:t>
      </w:r>
    </w:p>
    <w:p w14:paraId="5DFB459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3）报告输出：自动生成ESG报告、客户合规声明</w:t>
      </w:r>
    </w:p>
    <w:p w14:paraId="0BA908A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产业链合规数据——从“点状审核”到“链状穿透”</w:t>
      </w:r>
    </w:p>
    <w:p w14:paraId="6EBD7F8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现状：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传统的“问卷+验厂”模式存在滞后性与作弊空间</w:t>
      </w:r>
    </w:p>
    <w:p w14:paraId="76D232D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——数字化应用</w:t>
      </w:r>
    </w:p>
    <w:p w14:paraId="78F6136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1）区块链溯源：利用区块链确保农矿产品从原产地到成品的“数据不可篡改”</w:t>
      </w:r>
    </w:p>
    <w:p w14:paraId="135490B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2）供应链控制塔： 实时监控二级供应商、三级供应商的合规状态</w:t>
      </w:r>
    </w:p>
    <w:p w14:paraId="2E40C56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3）合规数据联动： 海关数据EDI、税务数据与供应商资质数据，预判潜在风险</w:t>
      </w:r>
    </w:p>
    <w:p w14:paraId="05E0C840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三、数据管理工具与方法论</w:t>
      </w:r>
    </w:p>
    <w:p w14:paraId="1B6EE09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识别与预警方法论</w:t>
      </w:r>
    </w:p>
    <w:p w14:paraId="07AAFA8B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1）邓白氏报告中的“法律合规”数据（涉诉/处罚历史）筛查高风险供应商</w:t>
      </w:r>
    </w:p>
    <w:p w14:paraId="455A595F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2）路透World-Check实时匹配运营地制裁状态，避免交易触雷</w:t>
      </w:r>
    </w:p>
    <w:p w14:paraId="3623782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3）分析历史审计数据，定位供应链薄弱环节</w:t>
      </w:r>
    </w:p>
    <w:p w14:paraId="09C5B74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资源优化配置方法论</w:t>
      </w:r>
    </w:p>
    <w:p w14:paraId="011403D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1）TCO计算器证明合规供应商“单价高但综合成本低”</w:t>
      </w:r>
    </w:p>
    <w:p w14:paraId="77E4370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某汽车零部件企业数据验证：合规供应商TCO低22%</w:t>
      </w:r>
    </w:p>
    <w:p w14:paraId="0920054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2）通过EcoVadis评级数据筛选ESG表现优的供应商，降低切换磨合成本</w:t>
      </w:r>
    </w:p>
    <w:p w14:paraId="2C772BDE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如沃尔玛优先合作A级ESG供应商，交付稳定性提升35%</w:t>
      </w:r>
    </w:p>
    <w:p w14:paraId="72DAAA8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3）分析合规培训参与率/考核通过率数据，优化培训资源投放</w:t>
      </w:r>
    </w:p>
    <w:p w14:paraId="49CCF6C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透明化构建信任方法论：</w:t>
      </w:r>
    </w:p>
    <w:p w14:paraId="5724F6C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1）用区块链溯源数据向消费者展示“全链合规”</w:t>
      </w:r>
    </w:p>
    <w:p w14:paraId="401B339D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某奶粉品牌标注每罐奶源的地缘政治风险排查记录，溢价提升15%</w:t>
      </w:r>
    </w:p>
    <w:p w14:paraId="6E97DE4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2）披露ESG评级数据</w:t>
      </w:r>
    </w:p>
    <w:p w14:paraId="53375E9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如宁德时代MSCI ESG评级AA级）吸引绿色投资者，融资成本下降1.5%</w:t>
      </w:r>
    </w:p>
    <w:p w14:paraId="0E3509E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3）共享合规整改数据向监管机构证明整改决心，加速解除制裁</w:t>
      </w:r>
    </w:p>
    <w:p w14:paraId="23C968C4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如大众集团“红黄绿灯”供应商分级审计结果</w:t>
      </w:r>
    </w:p>
    <w:p w14:paraId="00C4E120" w14:textId="77777777" w:rsidR="00996A39" w:rsidRDefault="00996A39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1BFD4BC3" w14:textId="61F833E4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实战讲解：</w:t>
      </w:r>
    </w:p>
    <w:p w14:paraId="5F504816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——高风险场景应对演练：</w:t>
      </w:r>
    </w:p>
    <w:p w14:paraId="25EA6DF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场景1：越南供应商要求现金支付“加急费”</w:t>
      </w:r>
    </w:p>
    <w:p w14:paraId="2D886E9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场景2：美国海关质疑产品原产地证明</w:t>
      </w:r>
    </w:p>
    <w:p w14:paraId="6607B853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场景3：NGO曝光代工厂加班违规</w:t>
      </w:r>
    </w:p>
    <w:p w14:paraId="513732B3" w14:textId="77777777" w:rsidR="00996A39" w:rsidRDefault="00996A39">
      <w:pPr>
        <w:spacing w:after="0" w:line="480" w:lineRule="exact"/>
        <w:rPr>
          <w:rFonts w:ascii="宋体" w:eastAsia="宋体" w:hAnsi="宋体" w:hint="eastAsia"/>
          <w:b/>
          <w:color w:val="000000"/>
          <w:sz w:val="24"/>
        </w:rPr>
      </w:pPr>
    </w:p>
    <w:p w14:paraId="4DA0E21B" w14:textId="77777777" w:rsidR="00996A39" w:rsidRDefault="00E74771">
      <w:pPr>
        <w:spacing w:after="0" w:line="480" w:lineRule="exac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b/>
          <w:color w:val="000000"/>
          <w:sz w:val="24"/>
        </w:rPr>
        <w:t>行动学习工作坊</w:t>
      </w:r>
    </w:p>
    <w:p w14:paraId="300F00EC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主题：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《针对本公司“关键物料”的合规沙盘推演》</w:t>
      </w:r>
    </w:p>
    <w:p w14:paraId="4AA332C7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1. 分组：每组选定一个本公司高风险品类</w:t>
      </w:r>
    </w:p>
    <w:p w14:paraId="71DFDC5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任务</w:t>
      </w:r>
    </w:p>
    <w:p w14:paraId="34153D4A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1）列出该品类面临的Top 3合规风险（借鉴Walmart/IKEA标准）</w:t>
      </w:r>
    </w:p>
    <w:p w14:paraId="2DDD1C92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2）计算“不合规”可能带来的潜在损失（财务+品牌）</w:t>
      </w:r>
    </w:p>
    <w:p w14:paraId="169DDAF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3）制定“合规成本消化”的具体谈判话术与行动计划</w:t>
      </w:r>
    </w:p>
    <w:p w14:paraId="40E60BF9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成果展示与点评：讲师针对各组方案的可行性、逻辑性进行点评</w:t>
      </w:r>
    </w:p>
    <w:p w14:paraId="54662BEB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课程总结与Q&amp;A</w:t>
      </w:r>
    </w:p>
    <w:p w14:paraId="6EAFB5C1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核心金句回顾：卓越的供应链，不是最便宜的供应链，而是最能抵御风浪的供应链</w:t>
      </w:r>
    </w:p>
    <w:p w14:paraId="65DC8FB8" w14:textId="77777777" w:rsidR="00996A39" w:rsidRDefault="00E74771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课后作业：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完善本部门《采购合规风险清单》或《供应商合规分级管理制度》</w:t>
      </w:r>
    </w:p>
    <w:sectPr w:rsidR="00996A3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CAEC9" w14:textId="77777777" w:rsidR="00996A39" w:rsidRDefault="00E7477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1CBF4CA" w14:textId="77777777" w:rsidR="00996A39" w:rsidRDefault="00E7477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B20A" w14:textId="77777777" w:rsidR="00996A39" w:rsidRDefault="00E7477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F836198" w14:textId="77777777" w:rsidR="00996A39" w:rsidRDefault="00E74771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31C1"/>
    <w:multiLevelType w:val="singleLevel"/>
    <w:tmpl w:val="18E931C1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494B0CA5"/>
    <w:multiLevelType w:val="multilevel"/>
    <w:tmpl w:val="494B0CA5"/>
    <w:lvl w:ilvl="0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978387507">
    <w:abstractNumId w:val="1"/>
  </w:num>
  <w:num w:numId="2" w16cid:durableId="151369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F0660"/>
    <w:rsid w:val="001056DF"/>
    <w:rsid w:val="00172A27"/>
    <w:rsid w:val="001D4206"/>
    <w:rsid w:val="001F2DF2"/>
    <w:rsid w:val="00207EEC"/>
    <w:rsid w:val="00224010"/>
    <w:rsid w:val="00276FBC"/>
    <w:rsid w:val="00284126"/>
    <w:rsid w:val="00333A54"/>
    <w:rsid w:val="004863CB"/>
    <w:rsid w:val="005C4388"/>
    <w:rsid w:val="005F3421"/>
    <w:rsid w:val="005F4D3D"/>
    <w:rsid w:val="00680F0F"/>
    <w:rsid w:val="006A0077"/>
    <w:rsid w:val="007F1BA1"/>
    <w:rsid w:val="0083038B"/>
    <w:rsid w:val="00853649"/>
    <w:rsid w:val="00922DF4"/>
    <w:rsid w:val="00983DE9"/>
    <w:rsid w:val="00996A39"/>
    <w:rsid w:val="009A38C3"/>
    <w:rsid w:val="00A37407"/>
    <w:rsid w:val="00A82561"/>
    <w:rsid w:val="00AC1664"/>
    <w:rsid w:val="00B17A2E"/>
    <w:rsid w:val="00B71ACA"/>
    <w:rsid w:val="00B71B67"/>
    <w:rsid w:val="00B87C28"/>
    <w:rsid w:val="00BC1C22"/>
    <w:rsid w:val="00BC2D92"/>
    <w:rsid w:val="00C607CE"/>
    <w:rsid w:val="00D55B3F"/>
    <w:rsid w:val="00DF73F8"/>
    <w:rsid w:val="00E004BE"/>
    <w:rsid w:val="00E74771"/>
    <w:rsid w:val="00EA3AF1"/>
    <w:rsid w:val="00EF01AB"/>
    <w:rsid w:val="00F91698"/>
    <w:rsid w:val="00FC1C72"/>
    <w:rsid w:val="014F4893"/>
    <w:rsid w:val="017541BA"/>
    <w:rsid w:val="01A7647D"/>
    <w:rsid w:val="01E84A30"/>
    <w:rsid w:val="021D7488"/>
    <w:rsid w:val="02F73C38"/>
    <w:rsid w:val="032F04D8"/>
    <w:rsid w:val="041A739C"/>
    <w:rsid w:val="045B52FD"/>
    <w:rsid w:val="04C258ED"/>
    <w:rsid w:val="04E627DB"/>
    <w:rsid w:val="04E80ACC"/>
    <w:rsid w:val="05056ECB"/>
    <w:rsid w:val="05073CA1"/>
    <w:rsid w:val="05BE78F1"/>
    <w:rsid w:val="05DD0E6F"/>
    <w:rsid w:val="063522A9"/>
    <w:rsid w:val="06410E51"/>
    <w:rsid w:val="064A5629"/>
    <w:rsid w:val="0665055C"/>
    <w:rsid w:val="06C54CB0"/>
    <w:rsid w:val="06DA4BFF"/>
    <w:rsid w:val="06FE7278"/>
    <w:rsid w:val="0735538E"/>
    <w:rsid w:val="07810D93"/>
    <w:rsid w:val="07896682"/>
    <w:rsid w:val="07B214C9"/>
    <w:rsid w:val="07F81FAA"/>
    <w:rsid w:val="091A7535"/>
    <w:rsid w:val="09475E50"/>
    <w:rsid w:val="098766B0"/>
    <w:rsid w:val="0A286239"/>
    <w:rsid w:val="0A3C4AC4"/>
    <w:rsid w:val="0A9A6B7F"/>
    <w:rsid w:val="0B09160F"/>
    <w:rsid w:val="0B5E289E"/>
    <w:rsid w:val="0B9067BA"/>
    <w:rsid w:val="0C5032C0"/>
    <w:rsid w:val="0C755A7E"/>
    <w:rsid w:val="0D29243C"/>
    <w:rsid w:val="0DD77C44"/>
    <w:rsid w:val="0EC87A33"/>
    <w:rsid w:val="0ECA7307"/>
    <w:rsid w:val="0EF12AE6"/>
    <w:rsid w:val="0EFD592E"/>
    <w:rsid w:val="0F20786F"/>
    <w:rsid w:val="0F4F5A5E"/>
    <w:rsid w:val="0FDA030E"/>
    <w:rsid w:val="10761BCF"/>
    <w:rsid w:val="10F62635"/>
    <w:rsid w:val="11056D1C"/>
    <w:rsid w:val="1146477A"/>
    <w:rsid w:val="118934A9"/>
    <w:rsid w:val="11E15093"/>
    <w:rsid w:val="11E7799A"/>
    <w:rsid w:val="12362265"/>
    <w:rsid w:val="12B75DF4"/>
    <w:rsid w:val="13925C08"/>
    <w:rsid w:val="13CE5AEB"/>
    <w:rsid w:val="13FE2D40"/>
    <w:rsid w:val="14092680"/>
    <w:rsid w:val="1432672C"/>
    <w:rsid w:val="14632CEE"/>
    <w:rsid w:val="146A5814"/>
    <w:rsid w:val="148A5358"/>
    <w:rsid w:val="149D16A7"/>
    <w:rsid w:val="14B551E5"/>
    <w:rsid w:val="14C0309A"/>
    <w:rsid w:val="14CD18FF"/>
    <w:rsid w:val="150A27EC"/>
    <w:rsid w:val="150A6991"/>
    <w:rsid w:val="15173AA9"/>
    <w:rsid w:val="151F30B3"/>
    <w:rsid w:val="15445871"/>
    <w:rsid w:val="15830BD9"/>
    <w:rsid w:val="15B01E51"/>
    <w:rsid w:val="15BF18BB"/>
    <w:rsid w:val="16094541"/>
    <w:rsid w:val="167871D8"/>
    <w:rsid w:val="16930926"/>
    <w:rsid w:val="16992920"/>
    <w:rsid w:val="170727F0"/>
    <w:rsid w:val="17680005"/>
    <w:rsid w:val="178A3AD7"/>
    <w:rsid w:val="17BD3EAD"/>
    <w:rsid w:val="17BF2702"/>
    <w:rsid w:val="17D61917"/>
    <w:rsid w:val="18061116"/>
    <w:rsid w:val="18375373"/>
    <w:rsid w:val="18656713"/>
    <w:rsid w:val="19197809"/>
    <w:rsid w:val="19362169"/>
    <w:rsid w:val="198A0A74"/>
    <w:rsid w:val="19B11072"/>
    <w:rsid w:val="19B62A89"/>
    <w:rsid w:val="1A47372A"/>
    <w:rsid w:val="1A752EB6"/>
    <w:rsid w:val="1AA80D5E"/>
    <w:rsid w:val="1AFF0141"/>
    <w:rsid w:val="1B100797"/>
    <w:rsid w:val="1B7C6E54"/>
    <w:rsid w:val="1C07688A"/>
    <w:rsid w:val="1C1222ED"/>
    <w:rsid w:val="1C623275"/>
    <w:rsid w:val="1C7D3C0B"/>
    <w:rsid w:val="1D9E066F"/>
    <w:rsid w:val="1DF11408"/>
    <w:rsid w:val="1E1B13F5"/>
    <w:rsid w:val="1EEE0DF0"/>
    <w:rsid w:val="1F095B9C"/>
    <w:rsid w:val="1F512138"/>
    <w:rsid w:val="1FF266BE"/>
    <w:rsid w:val="2088739C"/>
    <w:rsid w:val="20955535"/>
    <w:rsid w:val="20BE1E10"/>
    <w:rsid w:val="20D6616D"/>
    <w:rsid w:val="21906CA5"/>
    <w:rsid w:val="219F0AC7"/>
    <w:rsid w:val="21D2510C"/>
    <w:rsid w:val="21E25148"/>
    <w:rsid w:val="22401962"/>
    <w:rsid w:val="22A75E85"/>
    <w:rsid w:val="22D829E7"/>
    <w:rsid w:val="22E06CA1"/>
    <w:rsid w:val="22F32E79"/>
    <w:rsid w:val="22FB3ADB"/>
    <w:rsid w:val="234C07DB"/>
    <w:rsid w:val="23954084"/>
    <w:rsid w:val="244F54A0"/>
    <w:rsid w:val="25533D7B"/>
    <w:rsid w:val="266320C3"/>
    <w:rsid w:val="266C5DB2"/>
    <w:rsid w:val="26B1341B"/>
    <w:rsid w:val="26B177D7"/>
    <w:rsid w:val="26C8461C"/>
    <w:rsid w:val="277B4352"/>
    <w:rsid w:val="27A961FC"/>
    <w:rsid w:val="27B74537"/>
    <w:rsid w:val="2830097E"/>
    <w:rsid w:val="295B52D4"/>
    <w:rsid w:val="29B042F2"/>
    <w:rsid w:val="29F95D95"/>
    <w:rsid w:val="2A020879"/>
    <w:rsid w:val="2A19049E"/>
    <w:rsid w:val="2AD64A79"/>
    <w:rsid w:val="2B4F2C16"/>
    <w:rsid w:val="2B792842"/>
    <w:rsid w:val="2BB51544"/>
    <w:rsid w:val="2BC12DD8"/>
    <w:rsid w:val="2C31056E"/>
    <w:rsid w:val="2C3818FC"/>
    <w:rsid w:val="2C394523"/>
    <w:rsid w:val="2C5A7B6E"/>
    <w:rsid w:val="2C602C01"/>
    <w:rsid w:val="2C991856"/>
    <w:rsid w:val="2CAE7E10"/>
    <w:rsid w:val="2CBD64F3"/>
    <w:rsid w:val="2D88240F"/>
    <w:rsid w:val="2E1A4578"/>
    <w:rsid w:val="2E4C52B5"/>
    <w:rsid w:val="2E76670C"/>
    <w:rsid w:val="2E9677A2"/>
    <w:rsid w:val="2EA0798E"/>
    <w:rsid w:val="2EB931C8"/>
    <w:rsid w:val="2ED138CD"/>
    <w:rsid w:val="2EF97A69"/>
    <w:rsid w:val="303A3B69"/>
    <w:rsid w:val="30661632"/>
    <w:rsid w:val="313C05D6"/>
    <w:rsid w:val="31F502F5"/>
    <w:rsid w:val="325A081E"/>
    <w:rsid w:val="3281224F"/>
    <w:rsid w:val="32950604"/>
    <w:rsid w:val="32EE0F67"/>
    <w:rsid w:val="3354632E"/>
    <w:rsid w:val="33552D94"/>
    <w:rsid w:val="3364747B"/>
    <w:rsid w:val="33F44AB4"/>
    <w:rsid w:val="343155AF"/>
    <w:rsid w:val="34623382"/>
    <w:rsid w:val="34C4303E"/>
    <w:rsid w:val="35507787"/>
    <w:rsid w:val="36F80606"/>
    <w:rsid w:val="377A5B12"/>
    <w:rsid w:val="380A05F1"/>
    <w:rsid w:val="3843006F"/>
    <w:rsid w:val="3867549F"/>
    <w:rsid w:val="388303A3"/>
    <w:rsid w:val="38D24458"/>
    <w:rsid w:val="38E1635E"/>
    <w:rsid w:val="390019F4"/>
    <w:rsid w:val="391A77BD"/>
    <w:rsid w:val="39377035"/>
    <w:rsid w:val="39542E1A"/>
    <w:rsid w:val="397B655D"/>
    <w:rsid w:val="397C3770"/>
    <w:rsid w:val="39B244B8"/>
    <w:rsid w:val="3A072FE0"/>
    <w:rsid w:val="3A533B82"/>
    <w:rsid w:val="3A7F2907"/>
    <w:rsid w:val="3A897546"/>
    <w:rsid w:val="3AC058DE"/>
    <w:rsid w:val="3AE65DAD"/>
    <w:rsid w:val="3AE8273F"/>
    <w:rsid w:val="3B2A2D58"/>
    <w:rsid w:val="3B945A4F"/>
    <w:rsid w:val="3BF47E59"/>
    <w:rsid w:val="3BF5780A"/>
    <w:rsid w:val="3C6127A9"/>
    <w:rsid w:val="3C8C1F1C"/>
    <w:rsid w:val="3CAB1C17"/>
    <w:rsid w:val="3CDF336B"/>
    <w:rsid w:val="3D303357"/>
    <w:rsid w:val="3DF21F2E"/>
    <w:rsid w:val="3E210442"/>
    <w:rsid w:val="3E846C23"/>
    <w:rsid w:val="3EB04112"/>
    <w:rsid w:val="3F870779"/>
    <w:rsid w:val="3FF102E8"/>
    <w:rsid w:val="403B2C2F"/>
    <w:rsid w:val="403F1053"/>
    <w:rsid w:val="404F0412"/>
    <w:rsid w:val="41214BFD"/>
    <w:rsid w:val="413E130B"/>
    <w:rsid w:val="416F56E8"/>
    <w:rsid w:val="41A90E7A"/>
    <w:rsid w:val="42064A23"/>
    <w:rsid w:val="4315129C"/>
    <w:rsid w:val="4320516C"/>
    <w:rsid w:val="43353D4F"/>
    <w:rsid w:val="44495E16"/>
    <w:rsid w:val="44C036BD"/>
    <w:rsid w:val="45AA6F6F"/>
    <w:rsid w:val="45C83899"/>
    <w:rsid w:val="460A3878"/>
    <w:rsid w:val="462A6509"/>
    <w:rsid w:val="468C2B4D"/>
    <w:rsid w:val="46A20FAA"/>
    <w:rsid w:val="46A24CF0"/>
    <w:rsid w:val="46B3610B"/>
    <w:rsid w:val="46C41042"/>
    <w:rsid w:val="47490A0A"/>
    <w:rsid w:val="47C076C6"/>
    <w:rsid w:val="47F44954"/>
    <w:rsid w:val="48895562"/>
    <w:rsid w:val="48F86243"/>
    <w:rsid w:val="4913136A"/>
    <w:rsid w:val="494707C7"/>
    <w:rsid w:val="494D11FB"/>
    <w:rsid w:val="49A17BDC"/>
    <w:rsid w:val="49A2349F"/>
    <w:rsid w:val="49EB6D57"/>
    <w:rsid w:val="49EC47D8"/>
    <w:rsid w:val="4ACB4EF7"/>
    <w:rsid w:val="4AFD5D93"/>
    <w:rsid w:val="4B1B2ECF"/>
    <w:rsid w:val="4BA601D9"/>
    <w:rsid w:val="4BAF6637"/>
    <w:rsid w:val="4BE34F89"/>
    <w:rsid w:val="4C0B20B8"/>
    <w:rsid w:val="4C187E6D"/>
    <w:rsid w:val="4C334692"/>
    <w:rsid w:val="4C3D7083"/>
    <w:rsid w:val="4CDE39A2"/>
    <w:rsid w:val="4D057181"/>
    <w:rsid w:val="4D9329DF"/>
    <w:rsid w:val="4E060427"/>
    <w:rsid w:val="4E6A1991"/>
    <w:rsid w:val="4E7F4257"/>
    <w:rsid w:val="4ECB11DE"/>
    <w:rsid w:val="4F190F29"/>
    <w:rsid w:val="4F33177C"/>
    <w:rsid w:val="4F722566"/>
    <w:rsid w:val="503A452D"/>
    <w:rsid w:val="505F4DFA"/>
    <w:rsid w:val="50772E93"/>
    <w:rsid w:val="50D521AD"/>
    <w:rsid w:val="50D67C2E"/>
    <w:rsid w:val="50EE4AFC"/>
    <w:rsid w:val="50F70163"/>
    <w:rsid w:val="51480E67"/>
    <w:rsid w:val="51894111"/>
    <w:rsid w:val="519B30D9"/>
    <w:rsid w:val="51BA7D9C"/>
    <w:rsid w:val="51D05EA0"/>
    <w:rsid w:val="523F0D7C"/>
    <w:rsid w:val="53402E0D"/>
    <w:rsid w:val="535B3F9E"/>
    <w:rsid w:val="53786725"/>
    <w:rsid w:val="53A24FB5"/>
    <w:rsid w:val="545D3CF8"/>
    <w:rsid w:val="54D97871"/>
    <w:rsid w:val="552038EC"/>
    <w:rsid w:val="552C2A1F"/>
    <w:rsid w:val="559C40DA"/>
    <w:rsid w:val="56BA5480"/>
    <w:rsid w:val="56C16D13"/>
    <w:rsid w:val="57260908"/>
    <w:rsid w:val="574014B2"/>
    <w:rsid w:val="57566F57"/>
    <w:rsid w:val="57A859DE"/>
    <w:rsid w:val="57DB2056"/>
    <w:rsid w:val="57E67336"/>
    <w:rsid w:val="58244A84"/>
    <w:rsid w:val="58C54B31"/>
    <w:rsid w:val="595A2602"/>
    <w:rsid w:val="596F60AE"/>
    <w:rsid w:val="597204CD"/>
    <w:rsid w:val="59EB3395"/>
    <w:rsid w:val="5A21156A"/>
    <w:rsid w:val="5A22286F"/>
    <w:rsid w:val="5A2952FB"/>
    <w:rsid w:val="5AB97EAE"/>
    <w:rsid w:val="5AE40D1D"/>
    <w:rsid w:val="5B0950EB"/>
    <w:rsid w:val="5B4517BC"/>
    <w:rsid w:val="5B8B1199"/>
    <w:rsid w:val="5C013FFE"/>
    <w:rsid w:val="5C4A56F7"/>
    <w:rsid w:val="5CB660AB"/>
    <w:rsid w:val="5D543F38"/>
    <w:rsid w:val="5D79574D"/>
    <w:rsid w:val="5D995DEF"/>
    <w:rsid w:val="5DA238E5"/>
    <w:rsid w:val="5DDF358F"/>
    <w:rsid w:val="5EA63358"/>
    <w:rsid w:val="5EF808F3"/>
    <w:rsid w:val="5F036867"/>
    <w:rsid w:val="5F75492A"/>
    <w:rsid w:val="607C0A8D"/>
    <w:rsid w:val="60B47835"/>
    <w:rsid w:val="60E67AA2"/>
    <w:rsid w:val="60F2511B"/>
    <w:rsid w:val="61EB26C7"/>
    <w:rsid w:val="621A5025"/>
    <w:rsid w:val="626D15F8"/>
    <w:rsid w:val="627D5CDF"/>
    <w:rsid w:val="62A414BE"/>
    <w:rsid w:val="6369174C"/>
    <w:rsid w:val="637B1AF3"/>
    <w:rsid w:val="639E32C0"/>
    <w:rsid w:val="63BB0138"/>
    <w:rsid w:val="645E2BB9"/>
    <w:rsid w:val="646A0BCA"/>
    <w:rsid w:val="64813139"/>
    <w:rsid w:val="649F456D"/>
    <w:rsid w:val="64CD637E"/>
    <w:rsid w:val="64E42A92"/>
    <w:rsid w:val="64F94FB6"/>
    <w:rsid w:val="65031DA0"/>
    <w:rsid w:val="65183A9D"/>
    <w:rsid w:val="65472B37"/>
    <w:rsid w:val="655A592D"/>
    <w:rsid w:val="659628B6"/>
    <w:rsid w:val="65BF3643"/>
    <w:rsid w:val="6628290A"/>
    <w:rsid w:val="66F6096B"/>
    <w:rsid w:val="67A22EC1"/>
    <w:rsid w:val="67FD51CC"/>
    <w:rsid w:val="6829174D"/>
    <w:rsid w:val="68CA50AF"/>
    <w:rsid w:val="68EF4BB6"/>
    <w:rsid w:val="691E3493"/>
    <w:rsid w:val="693130A1"/>
    <w:rsid w:val="696F3EA8"/>
    <w:rsid w:val="69811F27"/>
    <w:rsid w:val="699B2EEF"/>
    <w:rsid w:val="69C67F6C"/>
    <w:rsid w:val="69D56401"/>
    <w:rsid w:val="69DF7D42"/>
    <w:rsid w:val="69E26B66"/>
    <w:rsid w:val="6A3273AF"/>
    <w:rsid w:val="6A95076A"/>
    <w:rsid w:val="6AD01849"/>
    <w:rsid w:val="6AE37117"/>
    <w:rsid w:val="6AEB36F7"/>
    <w:rsid w:val="6B593A7B"/>
    <w:rsid w:val="6B792DBC"/>
    <w:rsid w:val="6B9031DA"/>
    <w:rsid w:val="6BA22D3E"/>
    <w:rsid w:val="6BE26BB3"/>
    <w:rsid w:val="6BF3491C"/>
    <w:rsid w:val="6C1B1A70"/>
    <w:rsid w:val="6CEE047B"/>
    <w:rsid w:val="6D7E5723"/>
    <w:rsid w:val="6DC42A14"/>
    <w:rsid w:val="6E2E3854"/>
    <w:rsid w:val="6E4E6307"/>
    <w:rsid w:val="6ECF657C"/>
    <w:rsid w:val="6EF617F8"/>
    <w:rsid w:val="6F410D93"/>
    <w:rsid w:val="70442F3F"/>
    <w:rsid w:val="707D659C"/>
    <w:rsid w:val="717F6C52"/>
    <w:rsid w:val="719E0AED"/>
    <w:rsid w:val="71E33685"/>
    <w:rsid w:val="72916C3D"/>
    <w:rsid w:val="72E43211"/>
    <w:rsid w:val="73614861"/>
    <w:rsid w:val="73907205"/>
    <w:rsid w:val="73910128"/>
    <w:rsid w:val="73951E16"/>
    <w:rsid w:val="7397510C"/>
    <w:rsid w:val="73A34E7A"/>
    <w:rsid w:val="73AC41D5"/>
    <w:rsid w:val="73D05762"/>
    <w:rsid w:val="73D6524F"/>
    <w:rsid w:val="740622E5"/>
    <w:rsid w:val="741F77CE"/>
    <w:rsid w:val="74E43F30"/>
    <w:rsid w:val="7530098F"/>
    <w:rsid w:val="75B570E6"/>
    <w:rsid w:val="75B9587A"/>
    <w:rsid w:val="75C80BC8"/>
    <w:rsid w:val="75DA08FB"/>
    <w:rsid w:val="75FA2D4B"/>
    <w:rsid w:val="75FA49E1"/>
    <w:rsid w:val="765C3ABF"/>
    <w:rsid w:val="76E06296"/>
    <w:rsid w:val="77F83CF8"/>
    <w:rsid w:val="781520BE"/>
    <w:rsid w:val="783A38D3"/>
    <w:rsid w:val="78435EDE"/>
    <w:rsid w:val="789C2C49"/>
    <w:rsid w:val="78EE366C"/>
    <w:rsid w:val="78F50800"/>
    <w:rsid w:val="7968243D"/>
    <w:rsid w:val="79AE5130"/>
    <w:rsid w:val="79B576B5"/>
    <w:rsid w:val="79BE07D2"/>
    <w:rsid w:val="79C02882"/>
    <w:rsid w:val="79D264B9"/>
    <w:rsid w:val="7A122D59"/>
    <w:rsid w:val="7A3C0BC7"/>
    <w:rsid w:val="7A4B1DC7"/>
    <w:rsid w:val="7A7A25BA"/>
    <w:rsid w:val="7ABB67F3"/>
    <w:rsid w:val="7ACE4C2C"/>
    <w:rsid w:val="7B3D01B3"/>
    <w:rsid w:val="7BB3231A"/>
    <w:rsid w:val="7C4A4A2C"/>
    <w:rsid w:val="7C4B4E4D"/>
    <w:rsid w:val="7C5F7DAC"/>
    <w:rsid w:val="7C8A3BB8"/>
    <w:rsid w:val="7CD67752"/>
    <w:rsid w:val="7D0821F2"/>
    <w:rsid w:val="7D1D5D51"/>
    <w:rsid w:val="7D4B4B4B"/>
    <w:rsid w:val="7D7A1991"/>
    <w:rsid w:val="7D9D1B22"/>
    <w:rsid w:val="7DF863A2"/>
    <w:rsid w:val="7E20467A"/>
    <w:rsid w:val="7F660310"/>
    <w:rsid w:val="7F867444"/>
    <w:rsid w:val="7FB5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5368DC"/>
  <w15:docId w15:val="{52204727-F71C-42F5-B82A-1C691B85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Subtitle"/>
    <w:basedOn w:val="a"/>
    <w:next w:val="a"/>
    <w:link w:val="a6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Wilson</dc:creator>
  <cp:lastModifiedBy>Administrator</cp:lastModifiedBy>
  <cp:revision>27</cp:revision>
  <dcterms:created xsi:type="dcterms:W3CDTF">2026-03-19T10:38:00Z</dcterms:created>
  <dcterms:modified xsi:type="dcterms:W3CDTF">2026-04-27T06:11:00Z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eyJoZGlkIjoiZjY0ZDdmZGM5NmMzNzIxYTdjYTU4ZTVhMzI1NTYxOTgiLCJ1c2VySWQiOiIxNjYxMDg1MTg4In0=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E84375E889D049798E360FC81601AA43_13</vt:lpwstr>
  </property>
</Properties>
</file>